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08" w:lineRule="atLeast"/>
        <w:jc w:val="center"/>
        <w:rPr>
          <w:rFonts w:ascii="微软雅黑" w:hAnsi="微软雅黑" w:eastAsia="微软雅黑" w:cs="宋体"/>
          <w:b/>
          <w:bCs/>
          <w:color w:val="333333"/>
          <w:kern w:val="0"/>
          <w:sz w:val="27"/>
          <w:szCs w:val="27"/>
        </w:rPr>
      </w:pPr>
      <w:r>
        <w:rPr>
          <w:rFonts w:hint="eastAsia" w:ascii="微软雅黑" w:hAnsi="微软雅黑" w:eastAsia="微软雅黑" w:cs="宋体"/>
          <w:b/>
          <w:bCs/>
          <w:color w:val="333333"/>
          <w:kern w:val="0"/>
          <w:sz w:val="27"/>
          <w:szCs w:val="27"/>
        </w:rPr>
        <w:t>科技部 财政部关于印发《国家重点研发计划管理暂行办法》的通知</w:t>
      </w:r>
    </w:p>
    <w:p>
      <w:pPr>
        <w:widowControl/>
        <w:shd w:val="clear" w:color="auto" w:fill="FFFFFF"/>
        <w:spacing w:line="475" w:lineRule="atLeast"/>
        <w:jc w:val="center"/>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国科发资〔2024〕28号</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国务院有关部委、有关直属机构，各省、自治区、直辖市及计划单列市科技厅（委、局）、财政厅（局），新疆生产建设兵团科技局、财务局，有关单位：</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根据党中央、国务院关于科技计划管理改革的有关要求，为规范国家重点研发计划管理，保障国家重点研发计划组织实施，现将修订后的《国家重点研发计划管理暂行办法》印发给你们，请遵照执行。</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center"/>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4"/>
          <w:szCs w:val="24"/>
        </w:rPr>
        <w:t>　　　　　　　　　　　　　　　　　　科 技 部　　财 政 部</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center"/>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4"/>
          <w:szCs w:val="24"/>
        </w:rPr>
        <w:t>　　　　　　　　　　　　　　　　　　2024年3月31日</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（此件主动公开）</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7"/>
          <w:szCs w:val="27"/>
        </w:rPr>
      </w:pPr>
      <w:r>
        <w:rPr>
          <w:rFonts w:hint="eastAsia" w:ascii="宋体" w:hAnsi="宋体" w:eastAsia="宋体" w:cs="宋体"/>
          <w:color w:val="000000"/>
          <w:kern w:val="0"/>
          <w:sz w:val="27"/>
          <w:szCs w:val="27"/>
        </w:rPr>
        <w:pict>
          <v:rect id="_x0000_i1025" o:spt="1" style="height:1.5pt;width:0pt;" fillcolor="#A0A0A0" filled="t" stroked="f" coordsize="21600,21600" o:hr="t" o:hrstd="t" o:hralign="center">
            <v:path/>
            <v:fill on="t" focussize="0,0"/>
            <v:stroke on="f"/>
            <v:imagedata o:title=""/>
            <o:lock v:ext="edit"/>
            <w10:wrap type="none"/>
            <w10:anchorlock/>
          </v:rect>
        </w:pic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center"/>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b/>
          <w:bCs/>
          <w:color w:val="000000"/>
          <w:kern w:val="0"/>
          <w:sz w:val="27"/>
          <w:szCs w:val="27"/>
        </w:rPr>
        <w:t>国家重点研发计划管理暂行办法</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center"/>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b/>
          <w:bCs/>
          <w:color w:val="000000"/>
          <w:kern w:val="0"/>
          <w:sz w:val="27"/>
          <w:szCs w:val="27"/>
        </w:rPr>
        <w:t>第一章 总 则</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第一条 为深入学习贯彻习近平新时代中国特色社会主义思想，落实党中央、国务院的决策部署，保证国家重点研发计划的顺利实施，实现高效、科学、规范和公正管理，按照国家科技重大项目立项管理等制度要求，制定本办法。</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第二条 国家重点研发计划坚持面向世界科技前沿、面向经济主战场、面向国家重大需求、面向人民生命健康，重点资助事关国计民生的重大社会公益性研究，事关产业核心竞争力、整体自主创新能力和国家安全的战略性、基础性、前瞻性重大科学问题、关键共性技术和产品研发，以及重大国际科技合作等，加强跨部门、跨行业、跨区域研发布局和协同创新，为国民经济和社会发展各主要领域提供持续性的支撑和引领。</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第三条 国家重点研发计划按照重点专项、项目分层次管理。重点专项是国家重点研发计划组织实施的载体，聚焦国家重大战略任务，坚持目标导向，可从基础研究、技术创新到成果转化、应用示范进行全链条创新设计、一体化组织实施。项目是重点专项组织实施的基本单元，应服务于重点专项目标，可根据需要下设一定数量的课题。</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第四条 科技部负责重点专项动议征集凝练、总体布局、关键节点考核、监督评估和总体验收等。主责单位负责重点专项组织实施，对专项实施绩效负总责，委托并指导专业机构做好项目管理，根据实施需要建立跨部门协调机制。专业机构受主责单位委托，承担项目申报受理、立项评审、过程管理、监督检查、综合绩效评价等具体工作，在项目管理方面向主责单位直接负责。项目承担单位负责项目的具体组织实施工作，强化法人责任。</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第五条 国家重点研发计划组织实施遵循以下原则：</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需求导向、动态部署。瞄准国家目标，从各行业各领域重大现实紧迫需求出发，加强事关长远发展的战略前瞻布局，凝练提出亟待突破的科技瓶颈和问题，动态部署重点专项；对于突发、紧急的国家科技需求，建立快速设立专项的响应机制。</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充分授权、压实责任。重点专项组织实施向主责单位充分授权，发挥主责单位在行业需求凝练、政策标准制定、应用场景构建等方面的优势；建立权责一致的运行管理机制，压实各环节主体责任，确保专项的实施成效。</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开放创新、协同攻关。放眼全国遴选优势科研团队，充分发挥国家战略科技力量的骨干作用，开展协同攻关；突出企业科技创新主体作用，促进产学研用深度融合；营造良好科技创新环境，充分激发创新活力。</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——目标管理、加快应用。围绕拟解决重大问题，明确任务目标，以重大标志性成果为牵引，实施全过程目标管理；加强关键节点考核，强化科技成果的“实战性”，加快形成现实生产力和产业竞争力。</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第六条 国家重点研发计划全流程纳入统一的国家科技管理信息系统，包括指南发布、评审立项、资金使用、过程管理、综合绩效评价、成果转化应用等。落实国家科技报告、科学数据汇交和科技成果汇交制度，做好有关档案的整理、保存和归档。</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center"/>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b/>
          <w:bCs/>
          <w:color w:val="000000"/>
          <w:kern w:val="0"/>
          <w:sz w:val="27"/>
          <w:szCs w:val="27"/>
        </w:rPr>
        <w:t>第二章 重点专项设立</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第七条 有关部门、机构、地方、企业等研究提出重点专项动议。科技部按照立项管理规程要求组织论证和综合平衡后，形成拟立项建议（含专项名称、主责单位、总体目标、实施周期等），按程序报批。对于需求紧迫的选题动议，按照快速响应、灵活部署的要求，采取“一事一议”的方式加快启动。</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第八条 对于批准实施的重点专项，主责单位牵头编制重点专项实施方案（含概算、专业机构），报科技部、财政部。</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实施方案要围绕国家需求，聚焦专项拟解决的重大科学问题或要突破的关键共性技术，梳理形成问题清单和目标清单，合理部署基础研究、重大关键共性技术和成果转化等研发阶段的主要任务，并明确任务部署进度安排、预期重大标志性成果及考核要求，细化资源配置、配套保障、责任分工、成果转化及推广应用等举措。</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第九条 科技部、财政部组织对重点专项实施方案进行综合论证，着力提升专项目标指标先进性、任务部署科学性、组织实施可行性、资源配置合理性，优化考核方式、配套保障和管理举措，确保专项实施风险可控。实施方案经国家科技咨询委咨询评议后，按程序报批。</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第十条 科技部向主责单位批复实施方案，作为重点专项任务分解、项目申报指南编制、项目安排、组织实施、监督检查、评估问效的基本依据。</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第十一条 根据任务特点和需要，重点专项可采取部门（机构）负责制、地方负责制、总承单位负责制、业主单位负责制等多种模式。对于采取部门负责制的重点专项，主责单位应委托专业机构开展具体的项目管理，并与专业机构签订专项管理任务委托协议，明确委托的具体事项和管理要求；对于采取其他模式的重点专项，根据专项实施需要，参照有关要求建立健全项目过程管理工作机制。</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center"/>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b/>
          <w:bCs/>
          <w:color w:val="000000"/>
          <w:kern w:val="0"/>
          <w:sz w:val="27"/>
          <w:szCs w:val="27"/>
        </w:rPr>
        <w:t>第三章 项目组织实施管理</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第十二条 主责单位会同相关部门（单位）组织编制重点专项的年度项目申报指南。指南应充分遵循实施方案提出的总体目标和任务设置，避免交叉重复，明确形式审查条件和项目遴选方式。项目应相对独立完整，体量适度，设立可考核可评估的具体指标。主责单位依托国家科技管理信息系统查重后发布指南，并合理安排发布时间。</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第十三条 主责单位要结合专项特点和实施需要，加强组织实施机制创新，通过竞争择优、定向委托、分阶段滚动支持等多种项目遴选方式，在全国范围内择优确定项目承担单位，可采取“揭榜挂帅”、“赛马制”、“链主制”、青年科学家项目、长周期项目等组织模式，通过第三方测试、真实应用场景考核等方式，推动产学研用深度融合，提升项目组织实施绩效。</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第十四条 项目承担单位原则上为在中国大陆境内注册满1年的独立法人单位，应具有较强科研能力和条件，诚信状况良好；项目（课题）负责人原则上不超过60周岁，符合《科技部办公厅 财政部办公厅 自然科学基金委办公室关于进一步加强统筹国家科技计划项目立项管理工作的通知》有关限项要求。</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第十五条 专业机构根据指南要求开展项目申报受理，加强科研诚信审核，采用网络评审、通讯评审、会议评审、同场竞技、现场考察评估等方式组织评审。</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第十六条 项目评审专家应是在相关领域具有丰富经验、客观公正的高水平专家，原则上从国家科技专家库中选取，并实行回避制度。通过事前诚信审查、事中提醒监督、事后抽查评价等方式，从严管理和使用评审专家。</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第十七条 主责单位负责立项批复，并组织专业机构与项目承担单位签订项目任务书；对于保密项目，任务书中应包括保密协议。项目立项后，应按任务书约定、项目实施进展和任务完成情况及时向项目承担单位拨款。</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第十八条 项目承担单位应根据项目任务书确定的目标任务和分工安排，按进度高质量完成相关研发任务。项目实施中，主责单位应指导专业机构严格按照任务书要求，加强技术就绪度管理、“里程碑”节点考核等，做好项目过程管理。</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第十九条 项目实施中须作出重大调整的，由主责单位会同专业机构研究批复调整；对于因非正当理由致使项目撤销或终止的，应调查核实后严肃处理并逐级问责，对科研失信和违规行为，纳入科研诚信记录。</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第二十条 项目执行期满6个月内，主责单位组织专业机构依据项目任务书和有关要求分类开展综合绩效评价，由主责单位向项目承担单位下达综合绩效评价结论。项目综合绩效评价结论分为通过、未通过两类。项目综合绩效评价应突出目标导向、成果导向，注重核心目标和代表性成果，严把项目验收关。</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第二十一条 主责单位应充分发挥相关领域、行业、产业优势，为项目成果转化应用创造良好条件，协调调动各方面政策和资源，通过场景构建、政府采购、金融支持等方式，加快推动项目成果转化应用和产品迭代升级。科技部会同主责单位在项目验收3年内组织对成果转化应用情况进行跟踪评价。</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第二十二条 专业机构应持续加强专业化能力建设，加强相关领域科技发展跟踪研判；根据管理制度和主责单位要求，制定适合专项特点的管理工作方案，做好项目管理具体工作，提升项目管理质量，促进重大成果产出和应用推广；加强对参与项目管理活动各类专家的指导与监督，促进项目管理的公平公正。</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center"/>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b/>
          <w:bCs/>
          <w:color w:val="000000"/>
          <w:kern w:val="0"/>
          <w:sz w:val="27"/>
          <w:szCs w:val="27"/>
        </w:rPr>
        <w:t>第四章 重点专项管理和总结验收</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第二十三条 主责单位会同专业机构按年度编制重点专项执行情况报告，于每年12月底前报送科技部；执行期5年及以上的重点专项，于专项实施中期年份报送中期执行情况报告。</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第二十四条 重点专项执行期间，由于形势变化或实施需要，需对专项主要任务（含概算）进行重大调整或终止专项执行的，主责单位报科技部、财政部审核，按程序报批。</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第二十五条 重点专项执行期结束后，主责单位会同专业机构对重点专项实施情况进行总结，于专项执行期结束6个月内形成重点专项总结报告报科技部。</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第二十六条 科技部会同财政部组织开展重点专项总体验收工作，对重点专项的目标实现程度、组织管理水平、支撑经济社会发展效果与影响等作出全面评价，形成重点专项总体验收评价报告，按程序上报。重点专项总体验收评价情况将作为专项滚动实施、新设专项遴选主责单位和专业机构等方面的重要参考。</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专项验收坚持成果导向，重点突出对重大标志性成果及成果转化应用情况等方面的评价，采取测试平台验证、真实应用场景考核、用户单位考核等方式，强化验收评价的客观性、针对性和科学性。</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第二十七条 主责单位应加强重点专项的保密制度建设，完善保密工作责任体系，对涉及科技敏感信息和国家秘密的专项项目及其成果，应按有关规定执行并严格管理，分级分类做好信息安全管理，确保国家秘密安全。</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第二十八条 重点专项形成的知识产权归属、使用和转移，按照国家有关法律、法规和政策执行。为了国家安全、国家利益和重大社会公共利益的需要，国家可许可他人有偿实施或者无偿实施项目形成的知识产权。项目形成的研究成果，应标注“国家重点研发计划资助”字样及项目编号，英文标注：“National Key R&amp;D Program of China”。</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center"/>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b/>
          <w:bCs/>
          <w:color w:val="000000"/>
          <w:kern w:val="0"/>
          <w:sz w:val="27"/>
          <w:szCs w:val="27"/>
        </w:rPr>
        <w:t>第五章 多元化投入与资金管理</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第二十九条 坚持多元化原则筹措资金，在中央财政资金支持的基础上，加强央地联动、政企联动，引导地方、企业、金融资本及其他社会资金共同投入，支持相关部门和机构加强对承担相关项目的科技型企业全生命周期、全链条科技金融服务。</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第三十条 按照“放管结合、权责对等”的原则，采取简化预算编制、下放预算调剂权、实行“包干制”“负面清单”等多种方式，扩大科研经费管理自主权，减轻科研人员事务性负担，激发创新活力。</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第三十一条 国家重点研发计划通过前补助、后补助、“里程碑”拨款等方式对具体项目分类支持。中央财政资金的安排使用，要严格执行国家预算管理及财政国库管理的有关规定，全面实施预算绩效管理，实行专账管理，专款专用，建立覆盖资金管理使用全过程的资金监督机制，提高资金使用效益。项目经费使用中涉及政府采购的，应当按政府采购法律制度规定执行。</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国家重点研发计划资金管理办法由财政部会同有关部门制定。</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center"/>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b/>
          <w:bCs/>
          <w:color w:val="000000"/>
          <w:kern w:val="0"/>
          <w:sz w:val="27"/>
          <w:szCs w:val="27"/>
        </w:rPr>
        <w:t>第六章 监督与评估</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第三十二条 国家重点研发计划建立全过程、多层次、嵌入式的监督评估体系。监督评估工作应以重点专项实施方案、项目申报指南、立项批复、任务书、协议等为依据，按照责权一致的原则组织开展。</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第三十三条 科技部、财政部通过对重点专项的关键节点考核、随机抽查等方式，对专项组织实施情况和实施主体履职尽责情况进行监督评估，采用信息化手段，减轻科研人员负担。监督评估结论和意见及时向主责单位、专业机构进行反馈，重大事项按程序上报。</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第三十四条 主责单位对重点专项实施过程和进展进行监督评估，对受委托专业机构管理工作进行监督。专业机构对项目执行情况和项目承担单位开展日常监督。主责单位会同专业机构建立公众参与监督的工作机制，加强与审计监督、第三方监督等外部监督协同，并落实科技伦理监管制度。</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第三十五条 建立创新激励机制和责任追究机制。对在专项组织实施过程中作出重要贡献的单位、团队和个人，按照国家有关规定予以表彰奖励。对执行不力的，实行动态调整，并倒查各主体责任，逐级问责。对科研失信和违规行为，视情况纳入科研诚信严重失信行为数据库，依法依规严肃处理。涉嫌违纪违法的，移送有关部门。</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center"/>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b/>
          <w:bCs/>
          <w:color w:val="000000"/>
          <w:kern w:val="0"/>
          <w:sz w:val="27"/>
          <w:szCs w:val="27"/>
        </w:rPr>
        <w:t>第七章 附 则</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第三十六条 各主责单位依据本办法制定实施细则，发布前报科技部、财政部进行制度一致性审查并备案。管理要求另有规定的重点专项，按有关规定执行。</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宋体"/>
          <w:color w:val="000000"/>
          <w:kern w:val="0"/>
          <w:sz w:val="27"/>
          <w:szCs w:val="27"/>
        </w:rPr>
      </w:pPr>
      <w:r>
        <w:rPr>
          <w:rFonts w:hint="eastAsia" w:ascii="微软雅黑" w:hAnsi="微软雅黑" w:eastAsia="微软雅黑" w:cs="宋体"/>
          <w:color w:val="000000"/>
          <w:kern w:val="0"/>
          <w:sz w:val="27"/>
          <w:szCs w:val="27"/>
        </w:rPr>
        <w:t>　　第三十七条 对于地方、单位、企业等聚焦国家重大战略需求布局的研发任务，可按有关程序纳入国家重点研发计划管理。具体办法另行规定。</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pPr>
      <w:r>
        <w:rPr>
          <w:rFonts w:hint="eastAsia" w:ascii="微软雅黑" w:hAnsi="微软雅黑" w:eastAsia="微软雅黑" w:cs="宋体"/>
          <w:color w:val="000000"/>
          <w:kern w:val="0"/>
          <w:sz w:val="27"/>
          <w:szCs w:val="27"/>
        </w:rPr>
        <w:t>　　本办法自发布之日起施行。《国家重点研发计划管理暂行办法》（国科发资〔2017〕152号）同时废止。</w:t>
      </w:r>
      <w:bookmarkStart w:id="0" w:name="_GoBack"/>
      <w:bookmarkEnd w:id="0"/>
    </w:p>
    <w:sectPr>
      <w:pgSz w:w="11906" w:h="16838"/>
      <w:pgMar w:top="1157" w:right="1179" w:bottom="1157" w:left="117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dkMDgyNzhkNDJmZDFjNDhiOGEyZWViMjlmZGMwYjEifQ=="/>
  </w:docVars>
  <w:rsids>
    <w:rsidRoot w:val="001D7C42"/>
    <w:rsid w:val="001D7C42"/>
    <w:rsid w:val="00826489"/>
    <w:rsid w:val="13A834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7</Pages>
  <Words>5117</Words>
  <Characters>5154</Characters>
  <Lines>38</Lines>
  <Paragraphs>10</Paragraphs>
  <TotalTime>6</TotalTime>
  <ScaleCrop>false</ScaleCrop>
  <LinksUpToDate>false</LinksUpToDate>
  <CharactersWithSpaces>5365</CharactersWithSpaces>
  <Application>WPS Office_12.1.0.16894_F1E327BC-269C-435d-A152-05C5408002CA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2024-04-28T02:20:00Z</dcterms:created>
  <dc:creator>Administrator</dc:creator>
  <cp:lastModifiedBy>Administrator</cp:lastModifiedBy>
  <cp:lastPrinted>2024-04-29T07:12:01Z</cp:lastPrinted>
  <dcterms:modified xsi:type="dcterms:W3CDTF">2024-04-29T07:12:04Z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2052-12.1.0.16894</vt:lpwstr>
  </property>
  <property fmtid="{D5CDD505-2E9C-101B-9397-08002B2CF9AE}" pid="3" name="ICV">
    <vt:lpwstr>7DFBC0C8FFA24BACB2166D8266A8DFB0_12</vt:lpwstr>
  </property>
</Properties>
</file>