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60" w:lineRule="exact"/>
        <w:rPr>
          <w:rFonts w:hint="eastAsia" w:ascii="黑体" w:hAnsi="黑体" w:eastAsia="黑体"/>
          <w:bCs/>
          <w:color w:val="000000" w:themeColor="text1"/>
          <w:sz w:val="32"/>
          <w:szCs w:val="32"/>
          <w:shd w:val="clear" w:color="auto" w:fill="FFFFFF"/>
          <w:lang w:val="en-US" w:eastAsia="zh-CN"/>
        </w:rPr>
      </w:pPr>
      <w:r>
        <w:rPr>
          <w:rFonts w:hint="eastAsia" w:ascii="黑体" w:hAnsi="黑体" w:eastAsia="黑体"/>
          <w:bCs/>
          <w:color w:val="000000" w:themeColor="text1"/>
          <w:sz w:val="32"/>
          <w:szCs w:val="32"/>
          <w:shd w:val="clear" w:color="auto" w:fill="FFFFFF"/>
        </w:rPr>
        <w:t>附件</w:t>
      </w:r>
      <w:r>
        <w:rPr>
          <w:rFonts w:hint="eastAsia" w:ascii="黑体" w:hAnsi="黑体" w:eastAsia="黑体"/>
          <w:bCs/>
          <w:color w:val="000000" w:themeColor="text1"/>
          <w:sz w:val="32"/>
          <w:szCs w:val="32"/>
          <w:shd w:val="clear" w:color="auto" w:fill="FFFFFF"/>
          <w:lang w:val="en-US" w:eastAsia="zh-CN"/>
        </w:rPr>
        <w:t>1</w:t>
      </w:r>
    </w:p>
    <w:p>
      <w:pPr>
        <w:spacing w:after="0" w:line="560" w:lineRule="exact"/>
        <w:jc w:val="center"/>
        <w:rPr>
          <w:rFonts w:ascii="方正小标宋简体" w:hAnsi="黑体" w:eastAsia="方正小标宋简体"/>
          <w:bCs/>
          <w:color w:val="000000" w:themeColor="text1"/>
          <w:sz w:val="44"/>
          <w:szCs w:val="44"/>
          <w:shd w:val="clear" w:color="auto" w:fill="FFFFFF"/>
        </w:rPr>
      </w:pPr>
    </w:p>
    <w:p>
      <w:pPr>
        <w:spacing w:after="0" w:line="560" w:lineRule="exact"/>
        <w:jc w:val="center"/>
        <w:rPr>
          <w:rFonts w:ascii="方正小标宋简体" w:hAnsi="黑体" w:eastAsia="方正小标宋简体"/>
          <w:bCs/>
          <w:color w:val="000000" w:themeColor="text1"/>
          <w:sz w:val="44"/>
          <w:szCs w:val="44"/>
          <w:shd w:val="clear" w:color="auto" w:fill="FFFFFF"/>
        </w:rPr>
      </w:pPr>
      <w:r>
        <w:rPr>
          <w:rFonts w:hint="eastAsia" w:ascii="方正小标宋简体" w:hAnsi="黑体" w:eastAsia="方正小标宋简体"/>
          <w:bCs/>
          <w:color w:val="000000" w:themeColor="text1"/>
          <w:sz w:val="44"/>
          <w:szCs w:val="44"/>
          <w:shd w:val="clear" w:color="auto" w:fill="FFFFFF"/>
        </w:rPr>
        <w:t>梅县区农房风貌整治提升实施办法</w:t>
      </w:r>
    </w:p>
    <w:p>
      <w:pPr>
        <w:spacing w:after="0" w:line="560" w:lineRule="exact"/>
        <w:jc w:val="center"/>
        <w:rPr>
          <w:rFonts w:ascii="楷体_GB2312" w:hAnsi="黑体" w:eastAsia="楷体_GB2312"/>
          <w:bCs/>
          <w:color w:val="000000" w:themeColor="text1"/>
          <w:sz w:val="32"/>
          <w:szCs w:val="32"/>
          <w:shd w:val="clear" w:color="auto" w:fill="FFFFFF"/>
        </w:rPr>
      </w:pPr>
      <w:r>
        <w:rPr>
          <w:rFonts w:hint="eastAsia" w:ascii="楷体_GB2312" w:hAnsi="黑体" w:eastAsia="楷体_GB2312"/>
          <w:bCs/>
          <w:color w:val="000000" w:themeColor="text1"/>
          <w:sz w:val="32"/>
          <w:szCs w:val="32"/>
          <w:shd w:val="clear" w:color="auto" w:fill="FFFFFF"/>
        </w:rPr>
        <w:t>（征求意见稿）</w:t>
      </w:r>
    </w:p>
    <w:p>
      <w:pPr>
        <w:spacing w:after="0" w:line="560" w:lineRule="exact"/>
        <w:jc w:val="center"/>
        <w:rPr>
          <w:rFonts w:ascii="方正小标宋简体" w:hAnsi="黑体" w:eastAsia="方正小标宋简体"/>
          <w:bCs/>
          <w:color w:val="000000" w:themeColor="text1"/>
          <w:sz w:val="44"/>
          <w:szCs w:val="44"/>
          <w:shd w:val="clear" w:color="auto" w:fill="FFFFFF"/>
        </w:rPr>
      </w:pPr>
    </w:p>
    <w:p>
      <w:pPr>
        <w:spacing w:after="0" w:line="560" w:lineRule="exact"/>
        <w:ind w:firstLine="640" w:firstLineChars="200"/>
        <w:jc w:val="both"/>
        <w:rPr>
          <w:rFonts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color w:val="191919"/>
          <w:sz w:val="32"/>
          <w:szCs w:val="32"/>
          <w:shd w:val="clear" w:color="auto" w:fill="FFFFFF"/>
        </w:rPr>
        <w:t>根据</w:t>
      </w:r>
      <w:r>
        <w:rPr>
          <w:rStyle w:val="10"/>
          <w:rFonts w:hint="eastAsia" w:ascii="仿宋_GB2312" w:hAnsi="Arial" w:eastAsia="仿宋_GB2312" w:cs="Arial"/>
          <w:color w:val="000000" w:themeColor="text1"/>
          <w:sz w:val="32"/>
          <w:szCs w:val="32"/>
        </w:rPr>
        <w:t>中共中央办公厅、国务院办公厅《农村人居环境整治提升五年行动方案(2021-2025年)》《广东省人民政府关于全面推进农房管控和乡村风貌提升的指导意见》</w:t>
      </w:r>
      <w:r>
        <w:rPr>
          <w:rFonts w:hint="eastAsia" w:ascii="仿宋_GB2312" w:hAnsi="仿宋_GB2312" w:eastAsia="仿宋_GB2312" w:cs="仿宋_GB2312"/>
          <w:color w:val="191919"/>
          <w:sz w:val="32"/>
          <w:szCs w:val="32"/>
          <w:shd w:val="clear" w:color="auto" w:fill="FFFFFF"/>
        </w:rPr>
        <w:t>文件精神，加快推进我区农房风貌整治提升工作，进一步改善村容村貌水平，</w:t>
      </w:r>
      <w:r>
        <w:rPr>
          <w:rStyle w:val="10"/>
          <w:rFonts w:hint="eastAsia" w:ascii="仿宋_GB2312" w:hAnsi="Arial" w:eastAsia="仿宋_GB2312" w:cs="Arial"/>
          <w:color w:val="000000" w:themeColor="text1"/>
          <w:sz w:val="32"/>
          <w:szCs w:val="32"/>
        </w:rPr>
        <w:t>全面提升农村人居环境质量，</w:t>
      </w:r>
      <w:r>
        <w:rPr>
          <w:rFonts w:hint="eastAsia" w:ascii="仿宋_GB2312" w:hAnsi="仿宋_GB2312" w:eastAsia="仿宋_GB2312" w:cs="仿宋_GB2312"/>
          <w:color w:val="191919"/>
          <w:sz w:val="32"/>
          <w:szCs w:val="32"/>
          <w:shd w:val="clear" w:color="auto" w:fill="FFFFFF"/>
        </w:rPr>
        <w:t>结合我区实际，特制定</w:t>
      </w:r>
      <w:r>
        <w:rPr>
          <w:rFonts w:hint="eastAsia" w:ascii="仿宋_GB2312" w:hAnsi="仿宋_GB2312" w:eastAsia="仿宋_GB2312" w:cs="仿宋_GB2312"/>
          <w:bCs/>
          <w:color w:val="191919"/>
          <w:sz w:val="32"/>
          <w:szCs w:val="32"/>
          <w:shd w:val="clear" w:color="auto" w:fill="FFFFFF"/>
        </w:rPr>
        <w:t>农房风貌整治提升实施办法</w:t>
      </w:r>
      <w:r>
        <w:rPr>
          <w:rFonts w:hint="eastAsia" w:ascii="仿宋_GB2312" w:hAnsi="仿宋_GB2312" w:eastAsia="仿宋_GB2312" w:cs="仿宋_GB2312"/>
          <w:color w:val="191919"/>
          <w:sz w:val="32"/>
          <w:szCs w:val="32"/>
          <w:shd w:val="clear" w:color="auto" w:fill="FFFFFF"/>
        </w:rPr>
        <w:t>。</w:t>
      </w:r>
    </w:p>
    <w:p>
      <w:pPr>
        <w:adjustRightInd/>
        <w:snapToGrid/>
        <w:spacing w:after="0" w:line="560" w:lineRule="exact"/>
        <w:ind w:firstLine="640" w:firstLineChars="200"/>
        <w:rPr>
          <w:rFonts w:ascii="黑体" w:hAnsi="黑体" w:eastAsia="黑体" w:cs="宋体"/>
          <w:sz w:val="24"/>
          <w:szCs w:val="24"/>
        </w:rPr>
      </w:pPr>
      <w:r>
        <w:rPr>
          <w:rFonts w:hint="eastAsia" w:ascii="黑体" w:hAnsi="黑体" w:eastAsia="黑体" w:cs="黑体"/>
          <w:sz w:val="32"/>
          <w:szCs w:val="32"/>
        </w:rPr>
        <w:t>一、适用范围</w:t>
      </w:r>
    </w:p>
    <w:p>
      <w:pPr>
        <w:adjustRightInd/>
        <w:snapToGrid/>
        <w:spacing w:after="0" w:line="560" w:lineRule="exact"/>
        <w:ind w:firstLine="640" w:firstLineChars="200"/>
        <w:rPr>
          <w:rFonts w:ascii="仿宋_GB2312" w:hAnsi="宋体" w:eastAsia="仿宋_GB2312" w:cs="宋体"/>
          <w:sz w:val="24"/>
          <w:szCs w:val="24"/>
        </w:rPr>
      </w:pPr>
      <w:r>
        <w:rPr>
          <w:rFonts w:hint="eastAsia" w:ascii="仿宋_GB2312" w:hAnsi="仿宋_GB2312" w:eastAsia="仿宋_GB2312" w:cs="仿宋_GB2312"/>
          <w:sz w:val="32"/>
          <w:szCs w:val="32"/>
        </w:rPr>
        <w:t>全区18个镇（高管会）355个行政村。</w:t>
      </w:r>
    </w:p>
    <w:p>
      <w:pPr>
        <w:adjustRightInd/>
        <w:snapToGrid/>
        <w:spacing w:after="0" w:line="560" w:lineRule="exact"/>
        <w:ind w:firstLine="640" w:firstLineChars="200"/>
        <w:rPr>
          <w:rFonts w:ascii="黑体" w:hAnsi="黑体" w:eastAsia="黑体" w:cs="宋体"/>
          <w:sz w:val="24"/>
          <w:szCs w:val="24"/>
        </w:rPr>
      </w:pPr>
      <w:r>
        <w:rPr>
          <w:rFonts w:hint="eastAsia" w:ascii="黑体" w:hAnsi="黑体" w:eastAsia="黑体" w:cs="黑体"/>
          <w:sz w:val="32"/>
          <w:szCs w:val="32"/>
        </w:rPr>
        <w:t>二、资金来源</w:t>
      </w:r>
    </w:p>
    <w:p>
      <w:pPr>
        <w:adjustRightInd/>
        <w:snapToGrid/>
        <w:spacing w:after="0" w:line="560" w:lineRule="exact"/>
        <w:ind w:firstLine="640" w:firstLineChars="200"/>
        <w:rPr>
          <w:rFonts w:ascii="仿宋_GB2312" w:hAnsi="宋体" w:eastAsia="仿宋_GB2312" w:cs="宋体"/>
          <w:sz w:val="24"/>
          <w:szCs w:val="24"/>
        </w:rPr>
      </w:pPr>
      <w:r>
        <w:rPr>
          <w:rFonts w:hint="eastAsia" w:ascii="仿宋_GB2312" w:hAnsi="仿宋_GB2312" w:eastAsia="仿宋_GB2312" w:cs="仿宋_GB2312"/>
          <w:sz w:val="32"/>
          <w:szCs w:val="32"/>
        </w:rPr>
        <w:t>（一）省级涉农资金；</w:t>
      </w:r>
    </w:p>
    <w:p>
      <w:pPr>
        <w:adjustRightInd/>
        <w:snapToGrid/>
        <w:spacing w:after="0" w:line="560" w:lineRule="exact"/>
        <w:ind w:firstLine="640" w:firstLineChars="200"/>
        <w:rPr>
          <w:rFonts w:ascii="仿宋_GB2312" w:hAnsi="宋体" w:eastAsia="仿宋_GB2312" w:cs="宋体"/>
          <w:sz w:val="24"/>
          <w:szCs w:val="24"/>
        </w:rPr>
      </w:pPr>
      <w:r>
        <w:rPr>
          <w:rFonts w:hint="eastAsia" w:ascii="仿宋_GB2312" w:hAnsi="仿宋_GB2312" w:eastAsia="仿宋_GB2312" w:cs="仿宋_GB2312"/>
          <w:sz w:val="32"/>
          <w:szCs w:val="32"/>
        </w:rPr>
        <w:t>（二）市、区财政配套资金;</w:t>
      </w:r>
    </w:p>
    <w:p>
      <w:pPr>
        <w:adjustRightInd/>
        <w:snapToGrid/>
        <w:spacing w:after="0" w:line="560" w:lineRule="exact"/>
        <w:ind w:firstLine="640" w:firstLineChars="200"/>
        <w:rPr>
          <w:rFonts w:ascii="仿宋_GB2312" w:hAnsi="宋体" w:eastAsia="仿宋_GB2312" w:cs="宋体"/>
          <w:sz w:val="24"/>
          <w:szCs w:val="24"/>
        </w:rPr>
      </w:pPr>
      <w:r>
        <w:rPr>
          <w:rFonts w:hint="eastAsia" w:ascii="仿宋_GB2312" w:hAnsi="仿宋_GB2312" w:eastAsia="仿宋_GB2312" w:cs="仿宋_GB2312"/>
          <w:sz w:val="32"/>
          <w:szCs w:val="32"/>
        </w:rPr>
        <w:t>（三）一般或专项债券资金；</w:t>
      </w:r>
    </w:p>
    <w:p>
      <w:pPr>
        <w:adjustRightInd/>
        <w:snapToGrid/>
        <w:spacing w:after="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（四）帮扶单位帮扶资金及其他社会资金。</w:t>
      </w:r>
    </w:p>
    <w:p>
      <w:pPr>
        <w:spacing w:after="0" w:line="560" w:lineRule="exact"/>
        <w:ind w:firstLine="640" w:firstLineChars="200"/>
        <w:jc w:val="both"/>
        <w:rPr>
          <w:rFonts w:ascii="黑体" w:hAnsi="黑体" w:eastAsia="黑体" w:cs="楷体_GB2312"/>
          <w:bCs/>
          <w:color w:val="191919"/>
          <w:sz w:val="32"/>
          <w:szCs w:val="32"/>
          <w:shd w:val="clear" w:color="auto" w:fill="FFFFFF"/>
        </w:rPr>
      </w:pPr>
      <w:r>
        <w:rPr>
          <w:rFonts w:hint="eastAsia" w:ascii="黑体" w:hAnsi="黑体" w:eastAsia="黑体" w:cs="楷体_GB2312"/>
          <w:bCs/>
          <w:color w:val="191919"/>
          <w:sz w:val="32"/>
          <w:szCs w:val="32"/>
          <w:shd w:val="clear" w:color="auto" w:fill="FFFFFF"/>
        </w:rPr>
        <w:t>三、奖补标准</w:t>
      </w:r>
    </w:p>
    <w:p>
      <w:pPr>
        <w:spacing w:after="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bCs/>
          <w:color w:val="191919"/>
          <w:sz w:val="32"/>
          <w:szCs w:val="32"/>
          <w:shd w:val="clear" w:color="auto" w:fill="FFFFFF"/>
        </w:rPr>
        <w:t>农房风貌整治提升“以奖代补”</w:t>
      </w:r>
      <w:r>
        <w:rPr>
          <w:rFonts w:hint="eastAsia" w:ascii="仿宋_GB2312" w:hAnsi="仿宋_GB2312" w:eastAsia="仿宋_GB2312" w:cs="仿宋_GB2312"/>
          <w:sz w:val="32"/>
          <w:szCs w:val="32"/>
        </w:rPr>
        <w:t>办法按照实施项目市场造价单价约</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0%</w:t>
      </w:r>
      <w:r>
        <w:rPr>
          <w:rFonts w:hint="eastAsia" w:ascii="仿宋_GB2312" w:hAnsi="仿宋_GB2312" w:eastAsia="仿宋_GB2312" w:cs="仿宋_GB2312"/>
          <w:sz w:val="32"/>
          <w:szCs w:val="32"/>
        </w:rPr>
        <w:t>给予奖补，原则上一栋建筑综合奖补资金不超过5万元。具体奖补标准如下：</w:t>
      </w:r>
      <w:bookmarkStart w:id="0" w:name="_GoBack"/>
      <w:bookmarkEnd w:id="0"/>
    </w:p>
    <w:p>
      <w:pPr>
        <w:spacing w:after="0" w:line="560" w:lineRule="exact"/>
        <w:ind w:firstLine="640" w:firstLineChars="200"/>
        <w:jc w:val="both"/>
        <w:rPr>
          <w:rFonts w:hint="eastAsia" w:ascii="仿宋_GB2312" w:hAnsi="仿宋_GB2312" w:eastAsia="仿宋_GB2312" w:cs="仿宋_GB2312"/>
          <w:sz w:val="32"/>
          <w:szCs w:val="32"/>
        </w:rPr>
      </w:pPr>
    </w:p>
    <w:p>
      <w:pPr>
        <w:spacing w:after="0" w:line="560" w:lineRule="exact"/>
        <w:ind w:firstLine="640" w:firstLineChars="200"/>
        <w:jc w:val="both"/>
        <w:rPr>
          <w:rFonts w:ascii="仿宋_GB2312" w:hAnsi="仿宋_GB2312" w:eastAsia="仿宋_GB2312" w:cs="仿宋_GB2312"/>
          <w:sz w:val="32"/>
          <w:szCs w:val="32"/>
        </w:rPr>
      </w:pPr>
    </w:p>
    <w:p>
      <w:pPr>
        <w:spacing w:after="0" w:line="560" w:lineRule="exact"/>
        <w:ind w:firstLine="640" w:firstLineChars="200"/>
        <w:jc w:val="both"/>
        <w:rPr>
          <w:rFonts w:ascii="楷体_GB2312" w:hAnsi="仿宋_GB2312" w:eastAsia="楷体_GB2312" w:cs="仿宋_GB2312"/>
          <w:sz w:val="32"/>
          <w:szCs w:val="32"/>
        </w:rPr>
      </w:pPr>
      <w:r>
        <w:rPr>
          <w:rFonts w:hint="eastAsia" w:ascii="楷体_GB2312" w:hAnsi="仿宋_GB2312" w:eastAsia="楷体_GB2312" w:cs="仿宋_GB2312"/>
          <w:sz w:val="32"/>
          <w:szCs w:val="32"/>
        </w:rPr>
        <w:t>（一）传统客家民居</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552"/>
        <w:gridCol w:w="1559"/>
        <w:gridCol w:w="1701"/>
        <w:gridCol w:w="2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after="0" w:line="560" w:lineRule="exact"/>
              <w:jc w:val="center"/>
              <w:rPr>
                <w:rFonts w:ascii="楷体_GB2312" w:hAnsi="仿宋_GB2312" w:eastAsia="楷体_GB2312" w:cs="仿宋_GB2312"/>
                <w:sz w:val="28"/>
                <w:szCs w:val="32"/>
              </w:rPr>
            </w:pPr>
            <w:r>
              <w:rPr>
                <w:rFonts w:hint="eastAsia" w:ascii="楷体_GB2312" w:hAnsi="仿宋_GB2312" w:eastAsia="楷体_GB2312" w:cs="仿宋_GB2312"/>
                <w:sz w:val="28"/>
                <w:szCs w:val="32"/>
              </w:rPr>
              <w:t>序号</w:t>
            </w:r>
          </w:p>
        </w:tc>
        <w:tc>
          <w:tcPr>
            <w:tcW w:w="2552" w:type="dxa"/>
            <w:vAlign w:val="center"/>
          </w:tcPr>
          <w:p>
            <w:pPr>
              <w:spacing w:after="0" w:line="560" w:lineRule="exact"/>
              <w:jc w:val="center"/>
              <w:rPr>
                <w:rFonts w:ascii="楷体_GB2312" w:hAnsi="仿宋_GB2312" w:eastAsia="楷体_GB2312" w:cs="仿宋_GB2312"/>
                <w:sz w:val="28"/>
                <w:szCs w:val="32"/>
              </w:rPr>
            </w:pPr>
            <w:r>
              <w:rPr>
                <w:rFonts w:hint="eastAsia" w:ascii="楷体_GB2312" w:hAnsi="仿宋_GB2312" w:eastAsia="楷体_GB2312" w:cs="仿宋_GB2312"/>
                <w:sz w:val="28"/>
                <w:szCs w:val="32"/>
              </w:rPr>
              <w:t>项目名称</w:t>
            </w:r>
          </w:p>
        </w:tc>
        <w:tc>
          <w:tcPr>
            <w:tcW w:w="1559" w:type="dxa"/>
            <w:vAlign w:val="center"/>
          </w:tcPr>
          <w:p>
            <w:pPr>
              <w:spacing w:after="0" w:line="560" w:lineRule="exact"/>
              <w:jc w:val="center"/>
              <w:rPr>
                <w:rFonts w:ascii="楷体_GB2312" w:hAnsi="仿宋_GB2312" w:eastAsia="楷体_GB2312" w:cs="仿宋_GB2312"/>
                <w:sz w:val="28"/>
                <w:szCs w:val="32"/>
              </w:rPr>
            </w:pPr>
            <w:r>
              <w:rPr>
                <w:rFonts w:hint="eastAsia" w:ascii="楷体_GB2312" w:hAnsi="仿宋_GB2312" w:eastAsia="楷体_GB2312" w:cs="仿宋_GB2312"/>
                <w:sz w:val="28"/>
                <w:szCs w:val="32"/>
              </w:rPr>
              <w:t>造价单价</w:t>
            </w:r>
          </w:p>
        </w:tc>
        <w:tc>
          <w:tcPr>
            <w:tcW w:w="1701" w:type="dxa"/>
            <w:vAlign w:val="center"/>
          </w:tcPr>
          <w:p>
            <w:pPr>
              <w:spacing w:after="0" w:line="560" w:lineRule="exact"/>
              <w:jc w:val="center"/>
              <w:rPr>
                <w:rFonts w:ascii="楷体_GB2312" w:hAnsi="仿宋_GB2312" w:eastAsia="楷体_GB2312" w:cs="仿宋_GB2312"/>
                <w:sz w:val="28"/>
                <w:szCs w:val="32"/>
              </w:rPr>
            </w:pPr>
            <w:r>
              <w:rPr>
                <w:rFonts w:hint="eastAsia" w:ascii="楷体_GB2312" w:hAnsi="仿宋_GB2312" w:eastAsia="楷体_GB2312" w:cs="仿宋_GB2312"/>
                <w:sz w:val="28"/>
                <w:szCs w:val="32"/>
              </w:rPr>
              <w:t>奖补单价</w:t>
            </w:r>
          </w:p>
        </w:tc>
        <w:tc>
          <w:tcPr>
            <w:tcW w:w="2545" w:type="dxa"/>
            <w:vAlign w:val="center"/>
          </w:tcPr>
          <w:p>
            <w:pPr>
              <w:spacing w:after="0" w:line="560" w:lineRule="exact"/>
              <w:jc w:val="center"/>
              <w:rPr>
                <w:rFonts w:ascii="楷体_GB2312" w:hAnsi="仿宋_GB2312" w:eastAsia="楷体_GB2312" w:cs="仿宋_GB2312"/>
                <w:sz w:val="28"/>
                <w:szCs w:val="32"/>
              </w:rPr>
            </w:pPr>
            <w:r>
              <w:rPr>
                <w:rFonts w:hint="eastAsia" w:ascii="楷体_GB2312" w:hAnsi="仿宋_GB2312" w:eastAsia="楷体_GB2312" w:cs="仿宋_GB2312"/>
                <w:sz w:val="28"/>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817"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1</w:t>
            </w:r>
          </w:p>
        </w:tc>
        <w:tc>
          <w:tcPr>
            <w:tcW w:w="2552"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陶瓷瓦屋面</w:t>
            </w:r>
          </w:p>
        </w:tc>
        <w:tc>
          <w:tcPr>
            <w:tcW w:w="1559"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200元/</w:t>
            </w:r>
            <w:r>
              <w:rPr>
                <w:rFonts w:hint="eastAsia" w:ascii="仿宋_GB2312" w:hAnsi="仿宋" w:eastAsia="仿宋" w:cs="仿宋_GB2312"/>
                <w:sz w:val="28"/>
                <w:szCs w:val="32"/>
              </w:rPr>
              <w:t>㎡</w:t>
            </w:r>
          </w:p>
        </w:tc>
        <w:tc>
          <w:tcPr>
            <w:tcW w:w="1701"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80元/</w:t>
            </w:r>
            <w:r>
              <w:rPr>
                <w:rFonts w:hint="eastAsia" w:ascii="仿宋_GB2312" w:hAnsi="仿宋" w:eastAsia="仿宋" w:cs="仿宋_GB2312"/>
                <w:sz w:val="28"/>
                <w:szCs w:val="32"/>
              </w:rPr>
              <w:t>㎡</w:t>
            </w:r>
          </w:p>
        </w:tc>
        <w:tc>
          <w:tcPr>
            <w:tcW w:w="2545" w:type="dxa"/>
            <w:vAlign w:val="center"/>
          </w:tcPr>
          <w:p>
            <w:pPr>
              <w:spacing w:after="0"/>
              <w:jc w:val="both"/>
              <w:rPr>
                <w:rFonts w:ascii="仿宋_GB2312" w:hAnsi="仿宋" w:eastAsia="仿宋_GB2312" w:cs="仿宋_GB2312"/>
                <w:sz w:val="24"/>
                <w:szCs w:val="32"/>
              </w:rPr>
            </w:pPr>
            <w:r>
              <w:rPr>
                <w:rFonts w:hint="eastAsia" w:ascii="仿宋_GB2312" w:hAnsi="仿宋" w:eastAsia="仿宋_GB2312" w:cs="仿宋_GB2312"/>
                <w:sz w:val="24"/>
                <w:szCs w:val="32"/>
              </w:rPr>
              <w:t>含陶瓷瓦、桁条、桷板、飘峰板和人工工资等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817"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2</w:t>
            </w:r>
          </w:p>
        </w:tc>
        <w:tc>
          <w:tcPr>
            <w:tcW w:w="2552"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老瓦屋面</w:t>
            </w:r>
          </w:p>
        </w:tc>
        <w:tc>
          <w:tcPr>
            <w:tcW w:w="1559"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400元/</w:t>
            </w:r>
            <w:r>
              <w:rPr>
                <w:rFonts w:hint="eastAsia" w:ascii="仿宋_GB2312" w:hAnsi="仿宋" w:eastAsia="仿宋" w:cs="仿宋_GB2312"/>
                <w:sz w:val="28"/>
                <w:szCs w:val="32"/>
              </w:rPr>
              <w:t>㎡</w:t>
            </w:r>
          </w:p>
        </w:tc>
        <w:tc>
          <w:tcPr>
            <w:tcW w:w="1701"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160元/</w:t>
            </w:r>
            <w:r>
              <w:rPr>
                <w:rFonts w:hint="eastAsia" w:ascii="仿宋_GB2312" w:hAnsi="仿宋" w:eastAsia="仿宋" w:cs="仿宋_GB2312"/>
                <w:sz w:val="28"/>
                <w:szCs w:val="32"/>
              </w:rPr>
              <w:t>㎡</w:t>
            </w:r>
          </w:p>
        </w:tc>
        <w:tc>
          <w:tcPr>
            <w:tcW w:w="2545" w:type="dxa"/>
            <w:vAlign w:val="center"/>
          </w:tcPr>
          <w:p>
            <w:pPr>
              <w:spacing w:after="0"/>
              <w:jc w:val="both"/>
              <w:rPr>
                <w:rFonts w:ascii="仿宋_GB2312" w:hAnsi="仿宋" w:eastAsia="仿宋_GB2312" w:cs="仿宋_GB2312"/>
                <w:sz w:val="24"/>
                <w:szCs w:val="32"/>
              </w:rPr>
            </w:pPr>
            <w:r>
              <w:rPr>
                <w:rFonts w:hint="eastAsia" w:ascii="仿宋_GB2312" w:hAnsi="仿宋" w:eastAsia="仿宋_GB2312" w:cs="仿宋_GB2312"/>
                <w:sz w:val="24"/>
                <w:szCs w:val="32"/>
              </w:rPr>
              <w:t>含老土窑瓦、桁条、桷板、飘峰板和人工工资等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817"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3</w:t>
            </w:r>
          </w:p>
        </w:tc>
        <w:tc>
          <w:tcPr>
            <w:tcW w:w="2552"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钢结构树脂瓦屋面</w:t>
            </w:r>
          </w:p>
        </w:tc>
        <w:tc>
          <w:tcPr>
            <w:tcW w:w="1559"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160元/</w:t>
            </w:r>
            <w:r>
              <w:rPr>
                <w:rFonts w:hint="eastAsia" w:ascii="仿宋_GB2312" w:hAnsi="仿宋" w:eastAsia="仿宋" w:cs="仿宋_GB2312"/>
                <w:sz w:val="28"/>
                <w:szCs w:val="32"/>
              </w:rPr>
              <w:t>㎡</w:t>
            </w:r>
          </w:p>
        </w:tc>
        <w:tc>
          <w:tcPr>
            <w:tcW w:w="1701"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60元/</w:t>
            </w:r>
            <w:r>
              <w:rPr>
                <w:rFonts w:hint="eastAsia" w:ascii="仿宋_GB2312" w:hAnsi="仿宋" w:eastAsia="仿宋" w:cs="仿宋_GB2312"/>
                <w:sz w:val="28"/>
                <w:szCs w:val="32"/>
              </w:rPr>
              <w:t>㎡</w:t>
            </w:r>
          </w:p>
        </w:tc>
        <w:tc>
          <w:tcPr>
            <w:tcW w:w="2545" w:type="dxa"/>
            <w:vAlign w:val="center"/>
          </w:tcPr>
          <w:p>
            <w:pPr>
              <w:spacing w:after="0"/>
              <w:jc w:val="both"/>
              <w:rPr>
                <w:rFonts w:ascii="仿宋_GB2312" w:hAnsi="仿宋" w:eastAsia="仿宋_GB2312" w:cs="仿宋_GB2312"/>
                <w:sz w:val="24"/>
                <w:szCs w:val="32"/>
              </w:rPr>
            </w:pPr>
            <w:r>
              <w:rPr>
                <w:rFonts w:hint="eastAsia" w:ascii="仿宋_GB2312" w:hAnsi="仿宋" w:eastAsia="仿宋_GB2312" w:cs="仿宋_GB2312"/>
                <w:sz w:val="24"/>
                <w:szCs w:val="32"/>
              </w:rPr>
              <w:t>含树脂瓦、瓦栋、封边、瓦口、钢材和人工工资等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817"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4</w:t>
            </w:r>
          </w:p>
        </w:tc>
        <w:tc>
          <w:tcPr>
            <w:tcW w:w="2552"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墙面批灰刮白</w:t>
            </w:r>
          </w:p>
        </w:tc>
        <w:tc>
          <w:tcPr>
            <w:tcW w:w="1559"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130元/</w:t>
            </w:r>
            <w:r>
              <w:rPr>
                <w:rFonts w:hint="eastAsia" w:ascii="仿宋_GB2312" w:hAnsi="仿宋" w:eastAsia="仿宋" w:cs="仿宋_GB2312"/>
                <w:sz w:val="28"/>
                <w:szCs w:val="32"/>
              </w:rPr>
              <w:t>㎡</w:t>
            </w:r>
          </w:p>
        </w:tc>
        <w:tc>
          <w:tcPr>
            <w:tcW w:w="1701"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50元/</w:t>
            </w:r>
            <w:r>
              <w:rPr>
                <w:rFonts w:hint="eastAsia" w:ascii="仿宋_GB2312" w:hAnsi="仿宋" w:eastAsia="仿宋" w:cs="仿宋_GB2312"/>
                <w:sz w:val="28"/>
                <w:szCs w:val="32"/>
              </w:rPr>
              <w:t>㎡</w:t>
            </w:r>
          </w:p>
        </w:tc>
        <w:tc>
          <w:tcPr>
            <w:tcW w:w="2545" w:type="dxa"/>
            <w:vAlign w:val="center"/>
          </w:tcPr>
          <w:p>
            <w:pPr>
              <w:spacing w:after="0"/>
              <w:jc w:val="both"/>
              <w:rPr>
                <w:rFonts w:ascii="仿宋_GB2312" w:hAnsi="仿宋" w:eastAsia="仿宋_GB2312" w:cs="仿宋_GB2312"/>
                <w:sz w:val="24"/>
                <w:szCs w:val="32"/>
              </w:rPr>
            </w:pPr>
            <w:r>
              <w:rPr>
                <w:rFonts w:hint="eastAsia" w:ascii="仿宋_GB2312" w:hAnsi="仿宋" w:eastAsia="仿宋_GB2312" w:cs="仿宋_GB2312"/>
                <w:sz w:val="24"/>
                <w:szCs w:val="32"/>
              </w:rPr>
              <w:t>水泥砂桨打底、腻子灰刮白</w:t>
            </w:r>
          </w:p>
        </w:tc>
      </w:tr>
    </w:tbl>
    <w:p>
      <w:pPr>
        <w:spacing w:after="0" w:line="560" w:lineRule="exact"/>
        <w:ind w:firstLine="640" w:firstLineChars="200"/>
        <w:jc w:val="both"/>
        <w:rPr>
          <w:rFonts w:ascii="楷体_GB2312" w:hAnsi="仿宋_GB2312" w:eastAsia="楷体_GB2312" w:cs="仿宋_GB2312"/>
          <w:sz w:val="32"/>
          <w:szCs w:val="32"/>
        </w:rPr>
      </w:pPr>
      <w:r>
        <w:rPr>
          <w:rFonts w:hint="eastAsia" w:ascii="楷体_GB2312" w:hAnsi="仿宋_GB2312" w:eastAsia="楷体_GB2312" w:cs="仿宋_GB2312"/>
          <w:sz w:val="32"/>
          <w:szCs w:val="32"/>
        </w:rPr>
        <w:t>（二）农村自建房（近现代建筑）</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552"/>
        <w:gridCol w:w="1559"/>
        <w:gridCol w:w="1701"/>
        <w:gridCol w:w="2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after="0" w:line="560" w:lineRule="exact"/>
              <w:jc w:val="center"/>
              <w:rPr>
                <w:rFonts w:ascii="楷体_GB2312" w:hAnsi="仿宋_GB2312" w:eastAsia="楷体_GB2312" w:cs="仿宋_GB2312"/>
                <w:sz w:val="28"/>
                <w:szCs w:val="32"/>
              </w:rPr>
            </w:pPr>
            <w:r>
              <w:rPr>
                <w:rFonts w:hint="eastAsia" w:ascii="楷体_GB2312" w:hAnsi="仿宋_GB2312" w:eastAsia="楷体_GB2312" w:cs="仿宋_GB2312"/>
                <w:sz w:val="28"/>
                <w:szCs w:val="32"/>
              </w:rPr>
              <w:t>序号</w:t>
            </w:r>
          </w:p>
        </w:tc>
        <w:tc>
          <w:tcPr>
            <w:tcW w:w="2552" w:type="dxa"/>
            <w:vAlign w:val="center"/>
          </w:tcPr>
          <w:p>
            <w:pPr>
              <w:spacing w:after="0" w:line="560" w:lineRule="exact"/>
              <w:jc w:val="center"/>
              <w:rPr>
                <w:rFonts w:ascii="楷体_GB2312" w:hAnsi="仿宋_GB2312" w:eastAsia="楷体_GB2312" w:cs="仿宋_GB2312"/>
                <w:sz w:val="28"/>
                <w:szCs w:val="32"/>
              </w:rPr>
            </w:pPr>
            <w:r>
              <w:rPr>
                <w:rFonts w:hint="eastAsia" w:ascii="楷体_GB2312" w:hAnsi="仿宋_GB2312" w:eastAsia="楷体_GB2312" w:cs="仿宋_GB2312"/>
                <w:sz w:val="28"/>
                <w:szCs w:val="32"/>
              </w:rPr>
              <w:t>项目名称</w:t>
            </w:r>
          </w:p>
        </w:tc>
        <w:tc>
          <w:tcPr>
            <w:tcW w:w="1559" w:type="dxa"/>
            <w:vAlign w:val="center"/>
          </w:tcPr>
          <w:p>
            <w:pPr>
              <w:spacing w:after="0" w:line="560" w:lineRule="exact"/>
              <w:jc w:val="center"/>
              <w:rPr>
                <w:rFonts w:ascii="楷体_GB2312" w:hAnsi="仿宋_GB2312" w:eastAsia="楷体_GB2312" w:cs="仿宋_GB2312"/>
                <w:sz w:val="28"/>
                <w:szCs w:val="32"/>
              </w:rPr>
            </w:pPr>
            <w:r>
              <w:rPr>
                <w:rFonts w:hint="eastAsia" w:ascii="楷体_GB2312" w:hAnsi="仿宋_GB2312" w:eastAsia="楷体_GB2312" w:cs="仿宋_GB2312"/>
                <w:sz w:val="28"/>
                <w:szCs w:val="32"/>
              </w:rPr>
              <w:t>造价单价</w:t>
            </w:r>
          </w:p>
        </w:tc>
        <w:tc>
          <w:tcPr>
            <w:tcW w:w="1701" w:type="dxa"/>
            <w:vAlign w:val="center"/>
          </w:tcPr>
          <w:p>
            <w:pPr>
              <w:spacing w:after="0" w:line="560" w:lineRule="exact"/>
              <w:jc w:val="center"/>
              <w:rPr>
                <w:rFonts w:ascii="楷体_GB2312" w:hAnsi="仿宋_GB2312" w:eastAsia="楷体_GB2312" w:cs="仿宋_GB2312"/>
                <w:sz w:val="28"/>
                <w:szCs w:val="32"/>
              </w:rPr>
            </w:pPr>
            <w:r>
              <w:rPr>
                <w:rFonts w:hint="eastAsia" w:ascii="楷体_GB2312" w:hAnsi="仿宋_GB2312" w:eastAsia="楷体_GB2312" w:cs="仿宋_GB2312"/>
                <w:sz w:val="28"/>
                <w:szCs w:val="32"/>
              </w:rPr>
              <w:t>奖补单价</w:t>
            </w:r>
          </w:p>
        </w:tc>
        <w:tc>
          <w:tcPr>
            <w:tcW w:w="2545" w:type="dxa"/>
            <w:vAlign w:val="center"/>
          </w:tcPr>
          <w:p>
            <w:pPr>
              <w:spacing w:after="0" w:line="560" w:lineRule="exact"/>
              <w:jc w:val="center"/>
              <w:rPr>
                <w:rFonts w:ascii="楷体_GB2312" w:hAnsi="仿宋_GB2312" w:eastAsia="楷体_GB2312" w:cs="仿宋_GB2312"/>
                <w:sz w:val="28"/>
                <w:szCs w:val="32"/>
              </w:rPr>
            </w:pPr>
            <w:r>
              <w:rPr>
                <w:rFonts w:hint="eastAsia" w:ascii="楷体_GB2312" w:hAnsi="仿宋_GB2312" w:eastAsia="楷体_GB2312" w:cs="仿宋_GB2312"/>
                <w:sz w:val="28"/>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17"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1</w:t>
            </w:r>
          </w:p>
        </w:tc>
        <w:tc>
          <w:tcPr>
            <w:tcW w:w="2552"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屋顶</w:t>
            </w:r>
          </w:p>
        </w:tc>
        <w:tc>
          <w:tcPr>
            <w:tcW w:w="1559"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250元/</w:t>
            </w:r>
            <w:r>
              <w:rPr>
                <w:rFonts w:hint="eastAsia" w:ascii="仿宋_GB2312" w:hAnsi="仿宋" w:eastAsia="仿宋" w:cs="仿宋_GB2312"/>
                <w:sz w:val="28"/>
                <w:szCs w:val="32"/>
              </w:rPr>
              <w:t>㎡</w:t>
            </w:r>
          </w:p>
        </w:tc>
        <w:tc>
          <w:tcPr>
            <w:tcW w:w="1701"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100元/</w:t>
            </w:r>
            <w:r>
              <w:rPr>
                <w:rFonts w:hint="eastAsia" w:ascii="仿宋_GB2312" w:hAnsi="仿宋" w:eastAsia="仿宋" w:cs="仿宋_GB2312"/>
                <w:sz w:val="28"/>
                <w:szCs w:val="32"/>
              </w:rPr>
              <w:t>㎡</w:t>
            </w:r>
          </w:p>
        </w:tc>
        <w:tc>
          <w:tcPr>
            <w:tcW w:w="2545" w:type="dxa"/>
            <w:vAlign w:val="center"/>
          </w:tcPr>
          <w:p>
            <w:pPr>
              <w:spacing w:after="0"/>
              <w:jc w:val="both"/>
              <w:rPr>
                <w:rFonts w:ascii="仿宋_GB2312" w:hAnsi="仿宋" w:eastAsia="仿宋_GB2312" w:cs="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17"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2</w:t>
            </w:r>
          </w:p>
        </w:tc>
        <w:tc>
          <w:tcPr>
            <w:tcW w:w="2552"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半坡屋面</w:t>
            </w:r>
          </w:p>
        </w:tc>
        <w:tc>
          <w:tcPr>
            <w:tcW w:w="1559"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200元/</w:t>
            </w:r>
            <w:r>
              <w:rPr>
                <w:rFonts w:hint="eastAsia" w:ascii="仿宋_GB2312" w:hAnsi="仿宋" w:eastAsia="仿宋" w:cs="仿宋_GB2312"/>
                <w:sz w:val="28"/>
                <w:szCs w:val="32"/>
              </w:rPr>
              <w:t>㎡</w:t>
            </w:r>
          </w:p>
        </w:tc>
        <w:tc>
          <w:tcPr>
            <w:tcW w:w="1701"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80元/</w:t>
            </w:r>
            <w:r>
              <w:rPr>
                <w:rFonts w:hint="eastAsia" w:ascii="仿宋_GB2312" w:hAnsi="仿宋" w:eastAsia="仿宋" w:cs="仿宋_GB2312"/>
                <w:sz w:val="28"/>
                <w:szCs w:val="32"/>
              </w:rPr>
              <w:t>㎡</w:t>
            </w:r>
          </w:p>
        </w:tc>
        <w:tc>
          <w:tcPr>
            <w:tcW w:w="2545" w:type="dxa"/>
            <w:vAlign w:val="center"/>
          </w:tcPr>
          <w:p>
            <w:pPr>
              <w:spacing w:after="0"/>
              <w:jc w:val="both"/>
              <w:rPr>
                <w:rFonts w:ascii="仿宋_GB2312" w:hAnsi="仿宋" w:eastAsia="仿宋_GB2312" w:cs="仿宋_GB231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17"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3</w:t>
            </w:r>
          </w:p>
        </w:tc>
        <w:tc>
          <w:tcPr>
            <w:tcW w:w="2552"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墙面批灰刮白</w:t>
            </w:r>
          </w:p>
        </w:tc>
        <w:tc>
          <w:tcPr>
            <w:tcW w:w="1559"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130元/</w:t>
            </w:r>
            <w:r>
              <w:rPr>
                <w:rFonts w:hint="eastAsia" w:ascii="仿宋_GB2312" w:hAnsi="仿宋" w:eastAsia="仿宋" w:cs="仿宋_GB2312"/>
                <w:sz w:val="28"/>
                <w:szCs w:val="32"/>
              </w:rPr>
              <w:t>㎡</w:t>
            </w:r>
          </w:p>
        </w:tc>
        <w:tc>
          <w:tcPr>
            <w:tcW w:w="1701" w:type="dxa"/>
            <w:vAlign w:val="center"/>
          </w:tcPr>
          <w:p>
            <w:pPr>
              <w:spacing w:after="0" w:line="560" w:lineRule="exact"/>
              <w:jc w:val="center"/>
              <w:rPr>
                <w:rFonts w:ascii="仿宋_GB2312" w:hAnsi="仿宋" w:eastAsia="仿宋_GB2312" w:cs="仿宋_GB2312"/>
                <w:sz w:val="28"/>
                <w:szCs w:val="32"/>
              </w:rPr>
            </w:pPr>
            <w:r>
              <w:rPr>
                <w:rFonts w:hint="eastAsia" w:ascii="仿宋_GB2312" w:hAnsi="仿宋" w:eastAsia="仿宋_GB2312" w:cs="仿宋_GB2312"/>
                <w:sz w:val="28"/>
                <w:szCs w:val="32"/>
              </w:rPr>
              <w:t>50元/</w:t>
            </w:r>
            <w:r>
              <w:rPr>
                <w:rFonts w:hint="eastAsia" w:ascii="仿宋_GB2312" w:hAnsi="仿宋" w:eastAsia="仿宋" w:cs="仿宋_GB2312"/>
                <w:sz w:val="28"/>
                <w:szCs w:val="32"/>
              </w:rPr>
              <w:t>㎡</w:t>
            </w:r>
          </w:p>
        </w:tc>
        <w:tc>
          <w:tcPr>
            <w:tcW w:w="2545" w:type="dxa"/>
            <w:vAlign w:val="center"/>
          </w:tcPr>
          <w:p>
            <w:pPr>
              <w:spacing w:after="0"/>
              <w:jc w:val="both"/>
              <w:rPr>
                <w:rFonts w:ascii="仿宋_GB2312" w:hAnsi="仿宋" w:eastAsia="仿宋_GB2312" w:cs="仿宋_GB2312"/>
                <w:sz w:val="24"/>
                <w:szCs w:val="32"/>
              </w:rPr>
            </w:pPr>
            <w:r>
              <w:rPr>
                <w:rFonts w:hint="eastAsia" w:ascii="仿宋_GB2312" w:hAnsi="仿宋" w:eastAsia="仿宋_GB2312" w:cs="仿宋_GB2312"/>
                <w:sz w:val="24"/>
                <w:szCs w:val="32"/>
              </w:rPr>
              <w:t>水泥砂桨打底、腻子灰刮白</w:t>
            </w:r>
          </w:p>
        </w:tc>
      </w:tr>
    </w:tbl>
    <w:p>
      <w:pPr>
        <w:spacing w:after="0"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实施改造提升的农房已享受其他项目补助或贷款贴息的，不得再进行奖补。</w:t>
      </w:r>
    </w:p>
    <w:p>
      <w:pPr>
        <w:spacing w:after="0" w:line="560" w:lineRule="exact"/>
        <w:ind w:firstLine="640" w:firstLineChars="200"/>
        <w:jc w:val="both"/>
        <w:rPr>
          <w:rFonts w:ascii="黑体" w:hAnsi="黑体" w:eastAsia="黑体" w:cs="楷体_GB2312"/>
          <w:bCs/>
          <w:color w:val="191919"/>
          <w:sz w:val="32"/>
          <w:szCs w:val="32"/>
          <w:shd w:val="clear" w:color="auto" w:fill="FFFFFF"/>
        </w:rPr>
      </w:pPr>
      <w:r>
        <w:rPr>
          <w:rFonts w:hint="eastAsia" w:ascii="黑体" w:hAnsi="黑体" w:eastAsia="黑体" w:cs="楷体_GB2312"/>
          <w:bCs/>
          <w:color w:val="191919"/>
          <w:sz w:val="32"/>
          <w:szCs w:val="32"/>
          <w:shd w:val="clear" w:color="auto" w:fill="FFFFFF"/>
        </w:rPr>
        <w:t>四、申报程序</w:t>
      </w:r>
    </w:p>
    <w:p>
      <w:pPr>
        <w:spacing w:after="0" w:line="560" w:lineRule="exact"/>
        <w:ind w:firstLine="640" w:firstLineChars="200"/>
        <w:jc w:val="both"/>
        <w:rPr>
          <w:rFonts w:ascii="仿宋_GB2312" w:hAnsi="仿宋_GB2312" w:eastAsia="仿宋_GB2312" w:cs="仿宋_GB2312"/>
          <w:color w:val="191919"/>
          <w:sz w:val="32"/>
          <w:szCs w:val="32"/>
          <w:shd w:val="clear" w:color="auto" w:fill="FFFFFF"/>
        </w:rPr>
      </w:pPr>
      <w:r>
        <w:rPr>
          <w:rFonts w:hint="eastAsia" w:ascii="仿宋_GB2312" w:hAnsi="仿宋_GB2312" w:eastAsia="仿宋_GB2312" w:cs="仿宋_GB2312"/>
          <w:sz w:val="32"/>
          <w:szCs w:val="32"/>
        </w:rPr>
        <w:t>农房风貌管整治提升项目奖补实行申报制度，由村民理事会或村委会向镇、区申报，坚持先申报后补助、不申报不补助原则，充分发挥村民主体作用，激活乡村内生动力。</w:t>
      </w:r>
      <w:r>
        <w:rPr>
          <w:rFonts w:hint="eastAsia" w:ascii="仿宋_GB2312" w:hAnsi="仿宋_GB2312" w:eastAsia="仿宋_GB2312" w:cs="仿宋_GB2312"/>
          <w:color w:val="191919"/>
          <w:sz w:val="32"/>
          <w:szCs w:val="32"/>
          <w:shd w:val="clear" w:color="auto" w:fill="FFFFFF"/>
        </w:rPr>
        <w:t>具体申报流程为：村级申报→镇级审核→区级备案→组织实施→竣工验收→资金拨付。</w:t>
      </w:r>
    </w:p>
    <w:p>
      <w:pPr>
        <w:adjustRightInd/>
        <w:snapToGrid/>
        <w:spacing w:after="0" w:line="560" w:lineRule="exact"/>
        <w:ind w:firstLine="640" w:firstLineChars="200"/>
        <w:rPr>
          <w:rFonts w:ascii="仿宋_GB2312" w:hAnsi="仿宋_GB2312" w:eastAsia="仿宋_GB2312" w:cs="仿宋_GB2312"/>
          <w:sz w:val="32"/>
          <w:szCs w:val="32"/>
        </w:rPr>
      </w:pPr>
      <w:r>
        <w:rPr>
          <w:rFonts w:hint="eastAsia" w:ascii="楷体_GB2312" w:hAnsi="华文楷体" w:eastAsia="楷体_GB2312" w:cs="华文楷体"/>
          <w:bCs/>
          <w:sz w:val="32"/>
          <w:szCs w:val="32"/>
        </w:rPr>
        <w:t>（一）村级申报</w:t>
      </w:r>
      <w:r>
        <w:rPr>
          <w:rFonts w:hint="eastAsia" w:ascii="楷体_GB2312" w:hAnsi="仿宋_GB2312" w:eastAsia="楷体_GB2312" w:cs="仿宋_GB2312"/>
          <w:sz w:val="32"/>
          <w:szCs w:val="32"/>
        </w:rPr>
        <w:t>。</w:t>
      </w:r>
      <w:r>
        <w:rPr>
          <w:rFonts w:hint="eastAsia" w:ascii="仿宋_GB2312" w:hAnsi="仿宋_GB2312" w:eastAsia="仿宋_GB2312" w:cs="仿宋_GB2312"/>
          <w:sz w:val="32"/>
          <w:szCs w:val="32"/>
        </w:rPr>
        <w:t>在镇、村以及驻镇帮镇扶村工作队统一管理指导下，根据村庄整治规划，由村委会向镇政府提出申请，并明确需整治提升的农房数量、实施内容、投资概算及完成时间节点等，经镇驻村负责人、驻镇帮镇扶村工作队及村干部实地核实并签字确定后，以村为单位，报送各镇汇总审核。</w:t>
      </w:r>
    </w:p>
    <w:p>
      <w:pPr>
        <w:adjustRightInd/>
        <w:snapToGrid/>
        <w:spacing w:after="0" w:line="560" w:lineRule="exact"/>
        <w:ind w:firstLine="640" w:firstLineChars="200"/>
        <w:rPr>
          <w:rFonts w:ascii="宋体" w:hAnsi="宋体" w:eastAsia="宋体" w:cs="宋体"/>
          <w:sz w:val="24"/>
          <w:szCs w:val="24"/>
        </w:rPr>
      </w:pPr>
      <w:r>
        <w:rPr>
          <w:rFonts w:hint="eastAsia" w:ascii="楷体_GB2312" w:hAnsi="华文楷体" w:eastAsia="楷体_GB2312" w:cs="华文楷体"/>
          <w:bCs/>
          <w:sz w:val="32"/>
          <w:szCs w:val="32"/>
        </w:rPr>
        <w:t>（二）镇级审核。</w:t>
      </w:r>
      <w:r>
        <w:rPr>
          <w:rFonts w:hint="eastAsia" w:ascii="仿宋_GB2312" w:hAnsi="仿宋_GB2312" w:eastAsia="仿宋_GB2312" w:cs="仿宋_GB2312"/>
          <w:sz w:val="32"/>
          <w:szCs w:val="32"/>
        </w:rPr>
        <w:t>镇政府按有关政策负责对村委会上报的农房风貌整治提升奖补项目进行审核。审核批准后，以村为单位建立农房风貌整治提升项目库。</w:t>
      </w:r>
    </w:p>
    <w:p>
      <w:pPr>
        <w:adjustRightInd/>
        <w:snapToGrid/>
        <w:spacing w:after="0" w:line="560" w:lineRule="exact"/>
        <w:ind w:firstLine="640" w:firstLineChars="200"/>
        <w:rPr>
          <w:rFonts w:ascii="仿宋_GB2312" w:hAnsi="仿宋_GB2312" w:eastAsia="仿宋_GB2312" w:cs="仿宋_GB2312"/>
          <w:sz w:val="32"/>
          <w:szCs w:val="32"/>
        </w:rPr>
      </w:pPr>
      <w:r>
        <w:rPr>
          <w:rFonts w:hint="eastAsia" w:ascii="楷体_GB2312" w:hAnsi="仿宋_GB2312" w:eastAsia="楷体_GB2312" w:cs="仿宋_GB2312"/>
          <w:sz w:val="32"/>
          <w:szCs w:val="32"/>
        </w:rPr>
        <w:t>（三）区级备案。</w:t>
      </w:r>
      <w:r>
        <w:rPr>
          <w:rFonts w:hint="eastAsia" w:ascii="仿宋_GB2312" w:hAnsi="仿宋_GB2312" w:eastAsia="仿宋_GB2312" w:cs="仿宋_GB2312"/>
          <w:sz w:val="32"/>
          <w:szCs w:val="32"/>
        </w:rPr>
        <w:t>镇级完成审核后，统一上报区委农办备案登记。</w:t>
      </w:r>
    </w:p>
    <w:p>
      <w:pPr>
        <w:adjustRightInd/>
        <w:snapToGrid/>
        <w:spacing w:after="0" w:line="560" w:lineRule="exact"/>
        <w:ind w:firstLine="640" w:firstLineChars="200"/>
        <w:rPr>
          <w:rFonts w:ascii="宋体" w:hAnsi="宋体" w:eastAsia="宋体" w:cs="宋体"/>
          <w:sz w:val="24"/>
          <w:szCs w:val="24"/>
        </w:rPr>
      </w:pPr>
      <w:r>
        <w:rPr>
          <w:rFonts w:hint="eastAsia" w:ascii="楷体_GB2312" w:hAnsi="华文楷体" w:eastAsia="楷体_GB2312" w:cs="华文楷体"/>
          <w:bCs/>
          <w:sz w:val="32"/>
          <w:szCs w:val="32"/>
        </w:rPr>
        <w:t>（四）组织实施。</w:t>
      </w:r>
      <w:r>
        <w:rPr>
          <w:rFonts w:hint="eastAsia" w:ascii="仿宋_GB2312" w:hAnsi="仿宋_GB2312" w:eastAsia="仿宋_GB2312" w:cs="仿宋_GB2312"/>
          <w:sz w:val="32"/>
          <w:szCs w:val="32"/>
        </w:rPr>
        <w:t>经区级备案登记后，各镇、村委会组织开展农村风貌整治提升项目建设。</w:t>
      </w:r>
    </w:p>
    <w:p>
      <w:pPr>
        <w:adjustRightInd/>
        <w:snapToGrid/>
        <w:spacing w:after="0" w:line="560" w:lineRule="exact"/>
        <w:ind w:firstLine="640" w:firstLineChars="200"/>
        <w:rPr>
          <w:rFonts w:ascii="宋体" w:hAnsi="宋体" w:eastAsia="宋体" w:cs="宋体"/>
          <w:sz w:val="24"/>
          <w:szCs w:val="24"/>
        </w:rPr>
      </w:pPr>
      <w:r>
        <w:rPr>
          <w:rFonts w:hint="eastAsia" w:ascii="楷体_GB2312" w:hAnsi="华文楷体" w:eastAsia="楷体_GB2312" w:cs="华文楷体"/>
          <w:bCs/>
          <w:sz w:val="32"/>
          <w:szCs w:val="32"/>
        </w:rPr>
        <w:t>（五）项目验收。</w:t>
      </w:r>
      <w:r>
        <w:rPr>
          <w:rFonts w:hint="eastAsia" w:ascii="仿宋_GB2312" w:hAnsi="仿宋_GB2312" w:eastAsia="仿宋_GB2312" w:cs="仿宋_GB2312"/>
          <w:sz w:val="32"/>
          <w:szCs w:val="32"/>
        </w:rPr>
        <w:t>项目建设全部完成后，由各行政村提出项目申请并收集整理报账资料，各镇在收到验收申请后及时负责组织相关部门进行现场验收、签名盖章确定，经镇级验收合格后，按核定的奖补金额在所在镇村公示7天，无异议后才能确认通过验收。</w:t>
      </w:r>
    </w:p>
    <w:p>
      <w:pPr>
        <w:adjustRightInd/>
        <w:snapToGrid/>
        <w:spacing w:after="0" w:line="560" w:lineRule="exact"/>
        <w:ind w:firstLine="640" w:firstLineChars="200"/>
        <w:rPr>
          <w:rFonts w:ascii="楷体_GB2312" w:hAnsi="楷体_GB2312" w:eastAsia="楷体_GB2312" w:cs="楷体_GB2312"/>
          <w:b/>
          <w:bCs/>
          <w:sz w:val="32"/>
          <w:szCs w:val="32"/>
        </w:rPr>
      </w:pPr>
      <w:r>
        <w:rPr>
          <w:rFonts w:hint="eastAsia" w:ascii="楷体_GB2312" w:hAnsi="楷体_GB2312" w:eastAsia="楷体_GB2312" w:cs="楷体_GB2312"/>
          <w:bCs/>
          <w:sz w:val="32"/>
          <w:szCs w:val="32"/>
        </w:rPr>
        <w:t>（六）</w:t>
      </w:r>
      <w:r>
        <w:rPr>
          <w:rFonts w:hint="eastAsia" w:ascii="楷体_GB2312" w:hAnsi="仿宋_GB2312" w:eastAsia="楷体_GB2312" w:cs="仿宋_GB2312"/>
          <w:bCs/>
          <w:sz w:val="32"/>
          <w:szCs w:val="32"/>
        </w:rPr>
        <w:t>资金拨付。</w:t>
      </w:r>
      <w:r>
        <w:rPr>
          <w:rFonts w:hint="eastAsia" w:ascii="仿宋_GB2312" w:hAnsi="仿宋_GB2312" w:eastAsia="仿宋_GB2312" w:cs="仿宋_GB2312"/>
          <w:sz w:val="32"/>
          <w:szCs w:val="32"/>
        </w:rPr>
        <w:t>各镇向区委农办（区农业农村局）申请奖补资金，由区委农办（区农业农村局）汇总后统一向区财政局申请资金，区财政局将奖补资金拨付到相关镇后，由镇政府将奖补资金拨付给申报主体。</w:t>
      </w:r>
    </w:p>
    <w:p>
      <w:pPr>
        <w:spacing w:after="0" w:line="560" w:lineRule="exact"/>
        <w:ind w:firstLine="640" w:firstLineChars="200"/>
        <w:jc w:val="both"/>
        <w:rPr>
          <w:rFonts w:ascii="黑体" w:hAnsi="黑体" w:eastAsia="黑体" w:cs="楷体_GB2312"/>
          <w:bCs/>
          <w:color w:val="191919"/>
          <w:sz w:val="32"/>
          <w:szCs w:val="32"/>
          <w:shd w:val="clear" w:color="auto" w:fill="FFFFFF"/>
        </w:rPr>
      </w:pPr>
      <w:r>
        <w:rPr>
          <w:rFonts w:hint="eastAsia" w:ascii="黑体" w:hAnsi="黑体" w:eastAsia="黑体" w:cs="楷体_GB2312"/>
          <w:bCs/>
          <w:color w:val="191919"/>
          <w:sz w:val="32"/>
          <w:szCs w:val="32"/>
          <w:shd w:val="clear" w:color="auto" w:fill="FFFFFF"/>
        </w:rPr>
        <w:t>五、保障措施</w:t>
      </w:r>
    </w:p>
    <w:p>
      <w:pPr>
        <w:pStyle w:val="12"/>
        <w:shd w:val="clear" w:color="auto" w:fill="FFFFFF"/>
        <w:spacing w:before="0" w:beforeAutospacing="0" w:after="0" w:afterAutospacing="0" w:line="560" w:lineRule="exact"/>
        <w:ind w:firstLine="480" w:firstLineChars="150"/>
        <w:jc w:val="both"/>
        <w:rPr>
          <w:rFonts w:ascii="仿宋_GB2312" w:hAnsi="仿宋_GB2312" w:eastAsia="仿宋_GB2312" w:cs="仿宋_GB2312"/>
          <w:color w:val="000000"/>
          <w:sz w:val="32"/>
          <w:szCs w:val="32"/>
        </w:rPr>
      </w:pPr>
      <w:r>
        <w:rPr>
          <w:rFonts w:hint="eastAsia" w:ascii="楷体_GB2312" w:hAnsi="仿宋_GB2312" w:eastAsia="楷体_GB2312" w:cs="仿宋_GB2312"/>
          <w:bCs/>
          <w:color w:val="000000"/>
          <w:sz w:val="32"/>
          <w:szCs w:val="32"/>
        </w:rPr>
        <w:t>（一）加强组织领导。</w:t>
      </w:r>
      <w:r>
        <w:rPr>
          <w:rFonts w:hint="eastAsia" w:ascii="仿宋_GB2312" w:hAnsi="仿宋_GB2312" w:eastAsia="仿宋_GB2312" w:cs="仿宋_GB2312"/>
          <w:color w:val="000000"/>
          <w:sz w:val="32"/>
          <w:szCs w:val="32"/>
        </w:rPr>
        <w:t>各镇（高管会）成立农房风貌整治提升工作领导小组，负责项目奖补申报、审核、实施、验收等工作，要明确责任领导，负责项目实施过程中宣传发动、政策处理、后续利用、材料收集等工作。</w:t>
      </w:r>
    </w:p>
    <w:p>
      <w:pPr>
        <w:pStyle w:val="12"/>
        <w:shd w:val="clear" w:color="auto" w:fill="FFFFFF"/>
        <w:spacing w:before="0" w:beforeAutospacing="0" w:after="0" w:afterAutospacing="0" w:line="560" w:lineRule="exact"/>
        <w:ind w:firstLine="480" w:firstLineChars="150"/>
        <w:jc w:val="both"/>
        <w:rPr>
          <w:rFonts w:ascii="仿宋_GB2312" w:hAnsi="仿宋_GB2312" w:eastAsia="仿宋_GB2312" w:cs="仿宋_GB2312"/>
          <w:color w:val="000000"/>
          <w:sz w:val="32"/>
          <w:szCs w:val="32"/>
        </w:rPr>
      </w:pPr>
      <w:r>
        <w:rPr>
          <w:rFonts w:hint="eastAsia" w:ascii="楷体_GB2312" w:hAnsi="仿宋_GB2312" w:eastAsia="楷体_GB2312" w:cs="仿宋_GB2312"/>
          <w:bCs/>
          <w:color w:val="000000"/>
          <w:sz w:val="32"/>
          <w:szCs w:val="32"/>
        </w:rPr>
        <w:t>（二）加强资金保障。</w:t>
      </w:r>
      <w:r>
        <w:rPr>
          <w:rFonts w:hint="eastAsia" w:ascii="仿宋_GB2312" w:hAnsi="仿宋_GB2312" w:eastAsia="仿宋_GB2312" w:cs="仿宋_GB2312"/>
          <w:color w:val="000000"/>
          <w:sz w:val="32"/>
          <w:szCs w:val="32"/>
        </w:rPr>
        <w:t>镇、村要积极发动村民群众、乡贤、社会力量、帮扶单位等各方筹集资金、资源，建立政府主导、村民参与、社会支持的投入机制，区财政每年统筹安排专项资金用于</w:t>
      </w:r>
      <w:r>
        <w:rPr>
          <w:rFonts w:hint="eastAsia" w:ascii="仿宋_GB2312" w:hAnsi="仿宋_GB2312" w:eastAsia="仿宋_GB2312" w:cs="仿宋_GB2312"/>
          <w:color w:val="191919"/>
          <w:sz w:val="32"/>
          <w:szCs w:val="32"/>
          <w:shd w:val="clear" w:color="auto" w:fill="FFFFFF"/>
        </w:rPr>
        <w:t>农房风貌整治提升</w:t>
      </w:r>
      <w:r>
        <w:rPr>
          <w:rFonts w:hint="eastAsia" w:ascii="仿宋_GB2312" w:hAnsi="仿宋_GB2312" w:eastAsia="仿宋_GB2312" w:cs="仿宋_GB2312"/>
          <w:color w:val="000000"/>
          <w:sz w:val="32"/>
          <w:szCs w:val="32"/>
        </w:rPr>
        <w:t>奖补</w:t>
      </w:r>
      <w:r>
        <w:rPr>
          <w:rFonts w:hint="eastAsia" w:ascii="仿宋_GB2312" w:hAnsi="仿宋_GB2312" w:eastAsia="仿宋_GB2312" w:cs="仿宋_GB2312"/>
          <w:color w:val="191919"/>
          <w:sz w:val="32"/>
          <w:szCs w:val="32"/>
          <w:shd w:val="clear" w:color="auto" w:fill="FFFFFF"/>
        </w:rPr>
        <w:t>。</w:t>
      </w:r>
    </w:p>
    <w:p>
      <w:pPr>
        <w:pStyle w:val="12"/>
        <w:shd w:val="clear" w:color="auto" w:fill="FFFFFF"/>
        <w:spacing w:before="0" w:beforeAutospacing="0" w:after="0" w:afterAutospacing="0" w:line="560" w:lineRule="exact"/>
        <w:ind w:firstLine="480" w:firstLineChars="150"/>
        <w:jc w:val="both"/>
        <w:rPr>
          <w:rFonts w:ascii="仿宋_GB2312" w:hAnsi="仿宋_GB2312" w:eastAsia="仿宋_GB2312" w:cs="仿宋_GB2312"/>
          <w:color w:val="000000"/>
          <w:sz w:val="32"/>
          <w:szCs w:val="32"/>
        </w:rPr>
      </w:pPr>
      <w:r>
        <w:rPr>
          <w:rFonts w:hint="eastAsia" w:ascii="楷体_GB2312" w:hAnsi="仿宋_GB2312" w:eastAsia="楷体_GB2312" w:cs="仿宋_GB2312"/>
          <w:bCs/>
          <w:color w:val="000000"/>
          <w:sz w:val="32"/>
          <w:szCs w:val="32"/>
        </w:rPr>
        <w:t>（三）加强监查考核。</w:t>
      </w:r>
      <w:r>
        <w:rPr>
          <w:rFonts w:hint="eastAsia" w:ascii="仿宋_GB2312" w:hAnsi="仿宋_GB2312" w:eastAsia="仿宋_GB2312" w:cs="仿宋_GB2312"/>
          <w:color w:val="000000"/>
          <w:sz w:val="32"/>
          <w:szCs w:val="32"/>
        </w:rPr>
        <w:t>将</w:t>
      </w:r>
      <w:r>
        <w:rPr>
          <w:rFonts w:hint="eastAsia" w:ascii="仿宋_GB2312" w:hAnsi="仿宋_GB2312" w:eastAsia="仿宋_GB2312" w:cs="仿宋_GB2312"/>
          <w:color w:val="191919"/>
          <w:sz w:val="32"/>
          <w:szCs w:val="32"/>
          <w:shd w:val="clear" w:color="auto" w:fill="FFFFFF"/>
        </w:rPr>
        <w:t>农房风貌整治提升</w:t>
      </w:r>
      <w:r>
        <w:rPr>
          <w:rFonts w:hint="eastAsia" w:ascii="仿宋_GB2312" w:hAnsi="仿宋_GB2312" w:eastAsia="仿宋_GB2312" w:cs="仿宋_GB2312"/>
          <w:color w:val="000000"/>
          <w:sz w:val="32"/>
          <w:szCs w:val="32"/>
        </w:rPr>
        <w:t>奖补项目管理纳入美丽乡村建设资金使用和项目管理，建立日常监督机制和考核验收办法。由区委农办牵头，会同区住建等有关部门，加强技术指导和日常检查。</w:t>
      </w:r>
    </w:p>
    <w:p>
      <w:pPr>
        <w:pStyle w:val="12"/>
        <w:shd w:val="clear" w:color="auto" w:fill="FFFFFF"/>
        <w:spacing w:before="0" w:beforeAutospacing="0" w:after="0" w:afterAutospacing="0" w:line="560" w:lineRule="exact"/>
        <w:jc w:val="both"/>
        <w:rPr>
          <w:rFonts w:ascii="仿宋_GB2312" w:hAnsi="仿宋_GB2312" w:eastAsia="仿宋_GB2312" w:cs="仿宋_GB2312"/>
          <w:color w:val="000000"/>
          <w:sz w:val="32"/>
          <w:szCs w:val="32"/>
        </w:rPr>
      </w:pPr>
      <w:r>
        <w:rPr>
          <w:rFonts w:hint="eastAsia" w:ascii="楷体_GB2312" w:hAnsi="仿宋_GB2312" w:eastAsia="楷体_GB2312" w:cs="仿宋_GB2312"/>
          <w:bCs/>
          <w:color w:val="000000"/>
          <w:sz w:val="32"/>
          <w:szCs w:val="32"/>
        </w:rPr>
        <w:t xml:space="preserve">    （四）加强宣传发动。</w:t>
      </w:r>
      <w:r>
        <w:rPr>
          <w:rFonts w:hint="eastAsia" w:ascii="仿宋_GB2312" w:hAnsi="仿宋_GB2312" w:eastAsia="仿宋_GB2312" w:cs="仿宋_GB2312"/>
          <w:color w:val="000000"/>
          <w:sz w:val="32"/>
          <w:szCs w:val="32"/>
        </w:rPr>
        <w:t>通过广播、宣传栏、会议等形式，加大对农房风貌整治提升奖补政策的宣传。及时总结推广先进典型，形成政府与群众良性互动、保护与利用相互促进的良好氛围。</w:t>
      </w:r>
    </w:p>
    <w:p>
      <w:pPr>
        <w:spacing w:after="0" w:line="560" w:lineRule="exact"/>
        <w:ind w:firstLine="640" w:firstLineChars="200"/>
        <w:jc w:val="both"/>
        <w:rPr>
          <w:rFonts w:ascii="黑体" w:hAnsi="黑体" w:eastAsia="黑体" w:cs="楷体_GB2312"/>
          <w:bCs/>
          <w:color w:val="191919"/>
          <w:sz w:val="32"/>
          <w:szCs w:val="32"/>
          <w:shd w:val="clear" w:color="auto" w:fill="FFFFFF"/>
        </w:rPr>
      </w:pPr>
      <w:r>
        <w:rPr>
          <w:rFonts w:hint="eastAsia" w:ascii="黑体" w:hAnsi="黑体" w:eastAsia="黑体" w:cs="楷体_GB2312"/>
          <w:bCs/>
          <w:color w:val="191919"/>
          <w:sz w:val="32"/>
          <w:szCs w:val="32"/>
          <w:shd w:val="clear" w:color="auto" w:fill="FFFFFF"/>
        </w:rPr>
        <w:t>六、试行时间</w:t>
      </w:r>
    </w:p>
    <w:p>
      <w:pPr>
        <w:adjustRightInd/>
        <w:snapToGrid/>
        <w:spacing w:after="0" w:line="560" w:lineRule="exact"/>
        <w:ind w:firstLine="640" w:firstLineChars="200"/>
        <w:rPr>
          <w:rFonts w:ascii="仿宋_GB2312" w:eastAsia="仿宋_GB2312"/>
          <w:sz w:val="32"/>
          <w:szCs w:val="32"/>
        </w:rPr>
      </w:pPr>
      <w:r>
        <w:rPr>
          <w:rFonts w:hint="eastAsia" w:ascii="仿宋_GB2312" w:hAnsi="仿宋_GB2312" w:eastAsia="仿宋_GB2312" w:cs="仿宋_GB2312"/>
          <w:color w:val="000000"/>
          <w:sz w:val="32"/>
          <w:szCs w:val="32"/>
        </w:rPr>
        <w:t>本实施办法（试行）自印发日起施行，有效期3年，由区委农办（区乡村振兴局）会同有关部门负责解释。</w:t>
      </w:r>
    </w:p>
    <w:sectPr>
      <w:footerReference r:id="rId5" w:type="first"/>
      <w:footerReference r:id="rId4" w:type="default"/>
      <w:pgSz w:w="11906" w:h="16838"/>
      <w:pgMar w:top="1440" w:right="1474" w:bottom="1440" w:left="1474"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54802"/>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54803"/>
    </w:sdtPr>
    <w:sdtContent>
      <w:p>
        <w:pPr>
          <w:pStyle w:val="3"/>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Y1YjY4MGRhZmM1ZTM4ZjczNzBmZThlMWQ4NzU0M2EifQ=="/>
  </w:docVars>
  <w:rsids>
    <w:rsidRoot w:val="00C24347"/>
    <w:rsid w:val="000616B1"/>
    <w:rsid w:val="00071875"/>
    <w:rsid w:val="00077042"/>
    <w:rsid w:val="0008523F"/>
    <w:rsid w:val="000D64E5"/>
    <w:rsid w:val="000E49D1"/>
    <w:rsid w:val="001549CA"/>
    <w:rsid w:val="001605C6"/>
    <w:rsid w:val="001F4818"/>
    <w:rsid w:val="00213C76"/>
    <w:rsid w:val="002959A5"/>
    <w:rsid w:val="002C5DDB"/>
    <w:rsid w:val="002D4E86"/>
    <w:rsid w:val="002F6227"/>
    <w:rsid w:val="00355A3C"/>
    <w:rsid w:val="003B52E7"/>
    <w:rsid w:val="003C0AC4"/>
    <w:rsid w:val="003D5CDD"/>
    <w:rsid w:val="003F692B"/>
    <w:rsid w:val="00434CCC"/>
    <w:rsid w:val="00486602"/>
    <w:rsid w:val="004F3908"/>
    <w:rsid w:val="00545DA0"/>
    <w:rsid w:val="00574F18"/>
    <w:rsid w:val="005E0679"/>
    <w:rsid w:val="007A47AD"/>
    <w:rsid w:val="00806A37"/>
    <w:rsid w:val="00826DF2"/>
    <w:rsid w:val="00893C79"/>
    <w:rsid w:val="009B025F"/>
    <w:rsid w:val="009F5CA4"/>
    <w:rsid w:val="00A1010A"/>
    <w:rsid w:val="00AC3CB4"/>
    <w:rsid w:val="00AE77E9"/>
    <w:rsid w:val="00B85271"/>
    <w:rsid w:val="00B96CF0"/>
    <w:rsid w:val="00BB3CAE"/>
    <w:rsid w:val="00C24347"/>
    <w:rsid w:val="00DA45A3"/>
    <w:rsid w:val="00E024BC"/>
    <w:rsid w:val="00E624A9"/>
    <w:rsid w:val="00E81D75"/>
    <w:rsid w:val="00EE4B4F"/>
    <w:rsid w:val="00F338CE"/>
    <w:rsid w:val="00FA16AD"/>
    <w:rsid w:val="01AB5222"/>
    <w:rsid w:val="09C31F72"/>
    <w:rsid w:val="0D9A3AD7"/>
    <w:rsid w:val="0DF549C9"/>
    <w:rsid w:val="0FBF2BE4"/>
    <w:rsid w:val="263529AB"/>
    <w:rsid w:val="29DC5A1C"/>
    <w:rsid w:val="2BD1572D"/>
    <w:rsid w:val="2D0A3043"/>
    <w:rsid w:val="377B2E2E"/>
    <w:rsid w:val="38227210"/>
    <w:rsid w:val="3ED1068E"/>
    <w:rsid w:val="461E3138"/>
    <w:rsid w:val="47A00A2C"/>
    <w:rsid w:val="4E593645"/>
    <w:rsid w:val="75150E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pPr>
      <w:spacing w:after="0"/>
    </w:pPr>
    <w:rPr>
      <w:sz w:val="18"/>
      <w:szCs w:val="18"/>
    </w:rPr>
  </w:style>
  <w:style w:type="paragraph" w:styleId="3">
    <w:name w:val="footer"/>
    <w:basedOn w:val="1"/>
    <w:link w:val="9"/>
    <w:unhideWhenUsed/>
    <w:qFormat/>
    <w:uiPriority w:val="99"/>
    <w:pPr>
      <w:widowControl w:val="0"/>
      <w:tabs>
        <w:tab w:val="center" w:pos="4153"/>
        <w:tab w:val="right" w:pos="8306"/>
      </w:tabs>
      <w:adjustRightInd/>
      <w:spacing w:after="0"/>
    </w:pPr>
    <w:rPr>
      <w:rFonts w:asciiTheme="minorHAnsi" w:hAnsiTheme="minorHAnsi" w:eastAsiaTheme="minorEastAsia"/>
      <w:kern w:val="2"/>
      <w:sz w:val="18"/>
      <w:szCs w:val="18"/>
    </w:rPr>
  </w:style>
  <w:style w:type="paragraph" w:styleId="4">
    <w:name w:val="header"/>
    <w:basedOn w:val="1"/>
    <w:link w:val="8"/>
    <w:semiHidden/>
    <w:unhideWhenUsed/>
    <w:qFormat/>
    <w:uiPriority w:val="99"/>
    <w:pPr>
      <w:widowControl w:val="0"/>
      <w:pBdr>
        <w:bottom w:val="single" w:color="auto" w:sz="6" w:space="1"/>
      </w:pBdr>
      <w:tabs>
        <w:tab w:val="center" w:pos="4153"/>
        <w:tab w:val="right" w:pos="8306"/>
      </w:tabs>
      <w:adjustRightInd/>
      <w:spacing w:after="0"/>
      <w:jc w:val="center"/>
    </w:pPr>
    <w:rPr>
      <w:rFonts w:asciiTheme="minorHAnsi" w:hAnsiTheme="minorHAnsi" w:eastAsiaTheme="minorEastAsia"/>
      <w:kern w:val="2"/>
      <w:sz w:val="18"/>
      <w:szCs w:val="18"/>
    </w:rPr>
  </w:style>
  <w:style w:type="table" w:styleId="6">
    <w:name w:val="Table Grid"/>
    <w:basedOn w:val="5"/>
    <w:qFormat/>
    <w:uiPriority w:val="59"/>
    <w:rPr>
      <w:rFonts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bjh-p"/>
    <w:basedOn w:val="7"/>
    <w:qFormat/>
    <w:uiPriority w:val="0"/>
  </w:style>
  <w:style w:type="paragraph" w:customStyle="1" w:styleId="11">
    <w:name w:val="1"/>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12">
    <w:name w:val="text-tag"/>
    <w:basedOn w:val="1"/>
    <w:qFormat/>
    <w:uiPriority w:val="0"/>
    <w:pPr>
      <w:adjustRightInd/>
      <w:snapToGrid/>
      <w:spacing w:before="100" w:beforeAutospacing="1" w:after="100" w:afterAutospacing="1"/>
    </w:pPr>
    <w:rPr>
      <w:rFonts w:ascii="宋体" w:hAnsi="宋体" w:eastAsia="宋体" w:cs="宋体"/>
      <w:sz w:val="24"/>
      <w:szCs w:val="24"/>
    </w:rPr>
  </w:style>
  <w:style w:type="character" w:customStyle="1" w:styleId="13">
    <w:name w:val="批注框文本 Char"/>
    <w:basedOn w:val="7"/>
    <w:link w:val="2"/>
    <w:semiHidden/>
    <w:qFormat/>
    <w:uiPriority w:val="99"/>
    <w:rPr>
      <w:rFonts w:ascii="Tahoma" w:hAnsi="Tahoma" w:eastAsia="微软雅黑"/>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3494FD-47B2-47D4-A5AC-62ABA5A66C37}">
  <ds:schemaRefs/>
</ds:datastoreItem>
</file>

<file path=docProps/app.xml><?xml version="1.0" encoding="utf-8"?>
<Properties xmlns="http://schemas.openxmlformats.org/officeDocument/2006/extended-properties" xmlns:vt="http://schemas.openxmlformats.org/officeDocument/2006/docPropsVTypes">
  <Template>Normal</Template>
  <Company>mycomputer</Company>
  <Pages>4</Pages>
  <Words>1602</Words>
  <Characters>1639</Characters>
  <Lines>12</Lines>
  <Paragraphs>3</Paragraphs>
  <TotalTime>127</TotalTime>
  <ScaleCrop>false</ScaleCrop>
  <LinksUpToDate>false</LinksUpToDate>
  <CharactersWithSpaces>1643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2022-06-12T07:34:00Z</dcterms:created>
  <dc:creator>Administrator</dc:creator>
  <cp:lastModifiedBy>LX</cp:lastModifiedBy>
  <cp:lastPrinted>2022-06-19T02:20:00Z</cp:lastPrinted>
  <dcterms:modified xsi:type="dcterms:W3CDTF">2022-06-28T09:39:10Z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74CA98FE47BB43EE92691E53CBF0F5AD</vt:lpwstr>
  </property>
</Properties>
</file>