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rPr>
          <w:rFonts w:hint="eastAsia" w:ascii="黑体" w:hAnsi="黑体" w:eastAsia="黑体"/>
          <w:bCs/>
          <w:color w:val="000000" w:themeColor="text1"/>
          <w:sz w:val="32"/>
          <w:szCs w:val="32"/>
          <w:shd w:val="clear" w:color="auto" w:fill="FFFFFF"/>
          <w:lang w:val="en-US" w:eastAsia="zh-CN"/>
        </w:rPr>
      </w:pPr>
      <w:r>
        <w:rPr>
          <w:rFonts w:hint="eastAsia" w:ascii="黑体" w:hAnsi="黑体" w:eastAsia="黑体"/>
          <w:bCs/>
          <w:color w:val="000000" w:themeColor="text1"/>
          <w:sz w:val="32"/>
          <w:szCs w:val="32"/>
          <w:shd w:val="clear" w:color="auto" w:fill="FFFFFF"/>
        </w:rPr>
        <w:t>附件</w:t>
      </w:r>
      <w:r>
        <w:rPr>
          <w:rFonts w:hint="eastAsia" w:ascii="黑体" w:hAnsi="黑体" w:eastAsia="黑体"/>
          <w:bCs/>
          <w:color w:val="000000" w:themeColor="text1"/>
          <w:sz w:val="32"/>
          <w:szCs w:val="32"/>
          <w:shd w:val="clear" w:color="auto" w:fill="FFFFFF"/>
          <w:lang w:val="en-US" w:eastAsia="zh-CN"/>
        </w:rPr>
        <w:t>1</w:t>
      </w:r>
    </w:p>
    <w:p>
      <w:pPr>
        <w:spacing w:after="0"/>
        <w:rPr>
          <w:rFonts w:ascii="黑体" w:hAnsi="黑体" w:eastAsia="黑体"/>
          <w:bCs/>
          <w:color w:val="000000" w:themeColor="text1"/>
          <w:sz w:val="32"/>
          <w:szCs w:val="32"/>
          <w:shd w:val="clear" w:color="auto" w:fill="FFFFFF"/>
        </w:rPr>
      </w:pPr>
    </w:p>
    <w:p>
      <w:pPr>
        <w:spacing w:after="0"/>
        <w:jc w:val="center"/>
        <w:rPr>
          <w:rFonts w:ascii="方正小标宋简体" w:hAnsi="黑体" w:eastAsia="方正小标宋简体"/>
          <w:bCs/>
          <w:color w:val="000000" w:themeColor="text1"/>
          <w:sz w:val="44"/>
          <w:szCs w:val="44"/>
          <w:shd w:val="clear" w:color="auto" w:fill="FFFFFF"/>
        </w:rPr>
      </w:pPr>
      <w:r>
        <w:rPr>
          <w:rFonts w:hint="eastAsia" w:ascii="方正小标宋简体" w:hAnsi="黑体" w:eastAsia="方正小标宋简体"/>
          <w:bCs/>
          <w:color w:val="000000" w:themeColor="text1"/>
          <w:sz w:val="44"/>
          <w:szCs w:val="44"/>
          <w:shd w:val="clear" w:color="auto" w:fill="FFFFFF"/>
        </w:rPr>
        <w:t>梅县区开展“拯救老屋行动”实施办法</w:t>
      </w:r>
    </w:p>
    <w:p>
      <w:pPr>
        <w:spacing w:after="0"/>
        <w:jc w:val="center"/>
        <w:rPr>
          <w:rFonts w:ascii="楷体_GB2312" w:hAnsi="黑体" w:eastAsia="楷体_GB2312"/>
          <w:bCs/>
          <w:color w:val="000000" w:themeColor="text1"/>
          <w:sz w:val="32"/>
          <w:szCs w:val="44"/>
          <w:shd w:val="clear" w:color="auto" w:fill="FFFFFF"/>
        </w:rPr>
      </w:pPr>
      <w:r>
        <w:rPr>
          <w:rFonts w:hint="eastAsia" w:ascii="楷体_GB2312" w:hAnsi="黑体" w:eastAsia="楷体_GB2312"/>
          <w:bCs/>
          <w:color w:val="000000" w:themeColor="text1"/>
          <w:sz w:val="32"/>
          <w:szCs w:val="44"/>
          <w:shd w:val="clear" w:color="auto" w:fill="FFFFFF"/>
        </w:rPr>
        <w:t>（征求意见稿）</w:t>
      </w:r>
    </w:p>
    <w:p>
      <w:pPr>
        <w:spacing w:after="0" w:line="520" w:lineRule="exact"/>
        <w:jc w:val="both"/>
        <w:rPr>
          <w:rFonts w:asciiTheme="minorEastAsia" w:hAnsiTheme="minorEastAsia" w:eastAsiaTheme="minorEastAsia"/>
          <w:b/>
          <w:bCs/>
          <w:color w:val="000000" w:themeColor="text1"/>
          <w:sz w:val="44"/>
          <w:szCs w:val="44"/>
          <w:shd w:val="clear" w:color="auto" w:fill="FFFFFF"/>
        </w:rPr>
      </w:pPr>
    </w:p>
    <w:p>
      <w:pPr>
        <w:spacing w:after="0" w:line="560" w:lineRule="exact"/>
        <w:ind w:firstLine="640" w:firstLineChars="200"/>
        <w:jc w:val="both"/>
        <w:rPr>
          <w:rFonts w:ascii="仿宋_GB2312" w:hAnsi="仿宋_GB2312" w:eastAsia="仿宋_GB2312" w:cs="仿宋_GB2312"/>
          <w:b/>
          <w:color w:val="191919"/>
          <w:sz w:val="32"/>
          <w:szCs w:val="32"/>
          <w:shd w:val="clear" w:color="auto" w:fill="FFFFFF"/>
        </w:rPr>
      </w:pPr>
      <w:r>
        <w:rPr>
          <w:rFonts w:hint="eastAsia" w:ascii="仿宋_GB2312" w:hAnsi="仿宋_GB2312" w:eastAsia="仿宋_GB2312" w:cs="仿宋_GB2312"/>
          <w:color w:val="191919"/>
          <w:sz w:val="32"/>
          <w:szCs w:val="32"/>
          <w:shd w:val="clear" w:color="auto" w:fill="FFFFFF"/>
        </w:rPr>
        <w:t>根据《中共中央 国务院关于做好2022年全面推进乡村振兴重点工作的意见》和</w:t>
      </w:r>
      <w:r>
        <w:rPr>
          <w:rStyle w:val="13"/>
          <w:rFonts w:hint="eastAsia" w:ascii="仿宋_GB2312" w:hAnsi="Arial" w:eastAsia="仿宋_GB2312" w:cs="Arial"/>
          <w:color w:val="000000" w:themeColor="text1"/>
          <w:sz w:val="32"/>
          <w:szCs w:val="32"/>
        </w:rPr>
        <w:t>中共中央办公厅、国务院办公厅《农村人居环境整治提升五年行动方案(2021-2025年)》</w:t>
      </w:r>
      <w:r>
        <w:rPr>
          <w:rFonts w:hint="eastAsia" w:ascii="仿宋_GB2312" w:hAnsi="仿宋_GB2312" w:eastAsia="仿宋_GB2312" w:cs="仿宋_GB2312"/>
          <w:color w:val="191919"/>
          <w:sz w:val="32"/>
          <w:szCs w:val="32"/>
          <w:shd w:val="clear" w:color="auto" w:fill="FFFFFF"/>
        </w:rPr>
        <w:t>文件精神，按照区二届人大二次会议要求，深入实施“千村示范、万村整治”工程，扎实稳妥推进乡村建设，开展“拯救老屋行动”,加强传统建筑、传统村落保护，提升乡村风貌水平，结合我区实际，制定本办法。</w:t>
      </w:r>
    </w:p>
    <w:p>
      <w:pPr>
        <w:spacing w:after="0" w:line="560" w:lineRule="exact"/>
        <w:ind w:firstLine="640" w:firstLineChars="200"/>
        <w:jc w:val="both"/>
        <w:rPr>
          <w:rFonts w:ascii="黑体" w:hAnsi="黑体" w:eastAsia="黑体" w:cs="楷体_GB2312"/>
          <w:bCs/>
          <w:color w:val="191919"/>
          <w:sz w:val="32"/>
          <w:szCs w:val="32"/>
          <w:shd w:val="clear" w:color="auto" w:fill="FFFFFF"/>
        </w:rPr>
      </w:pPr>
      <w:r>
        <w:rPr>
          <w:rFonts w:hint="eastAsia" w:ascii="黑体" w:hAnsi="黑体" w:eastAsia="黑体" w:cs="楷体_GB2312"/>
          <w:bCs/>
          <w:color w:val="191919"/>
          <w:sz w:val="32"/>
          <w:szCs w:val="32"/>
          <w:shd w:val="clear" w:color="auto" w:fill="FFFFFF"/>
        </w:rPr>
        <w:t>一、指导思想、基本原则和目标任务</w:t>
      </w:r>
    </w:p>
    <w:p>
      <w:pPr>
        <w:spacing w:after="0" w:line="560" w:lineRule="exact"/>
        <w:ind w:firstLine="640" w:firstLineChars="200"/>
        <w:jc w:val="both"/>
        <w:rPr>
          <w:rFonts w:ascii="仿宋_GB2312" w:hAnsi="仿宋_GB2312" w:eastAsia="仿宋_GB2312" w:cs="仿宋_GB2312"/>
          <w:color w:val="191919"/>
          <w:sz w:val="32"/>
          <w:szCs w:val="32"/>
          <w:shd w:val="clear" w:color="auto" w:fill="FFFFFF"/>
        </w:rPr>
      </w:pPr>
      <w:r>
        <w:rPr>
          <w:rFonts w:hint="eastAsia" w:ascii="楷体" w:hAnsi="楷体" w:eastAsia="楷体" w:cs="仿宋_GB2312"/>
          <w:color w:val="191919"/>
          <w:sz w:val="32"/>
          <w:szCs w:val="32"/>
          <w:shd w:val="clear" w:color="auto" w:fill="FFFFFF"/>
        </w:rPr>
        <w:t>（一）指导思想。</w:t>
      </w:r>
      <w:r>
        <w:rPr>
          <w:rFonts w:hint="eastAsia" w:ascii="仿宋_GB2312" w:hAnsi="仿宋_GB2312" w:eastAsia="仿宋_GB2312" w:cs="仿宋_GB2312"/>
          <w:color w:val="191919"/>
          <w:sz w:val="32"/>
          <w:szCs w:val="32"/>
          <w:shd w:val="clear" w:color="auto" w:fill="FFFFFF"/>
        </w:rPr>
        <w:t>以习近平总书记关于优秀传统文化系列讲话精神和改善农村人居环境系列指示精神为指导，实施“拯救老屋行动”，充分发掘传统文化、打造优美人居环境，积极构建传统建筑所有权人为主体、社会力量广泛参与的老屋修缮保护体系，着力破解文物建筑、客家传统建筑年久失修、破损严重等突出问题，推动传统古村落、古民居、名人故居等成为我区美丽乡村建设的新品牌、新名片，推进乡村文化旅游发展，促进美丽乡村向美丽经济转化。</w:t>
      </w:r>
    </w:p>
    <w:p>
      <w:pPr>
        <w:widowControl w:val="0"/>
        <w:spacing w:after="0" w:line="560" w:lineRule="exact"/>
        <w:ind w:firstLine="640" w:firstLineChars="200"/>
        <w:jc w:val="both"/>
        <w:rPr>
          <w:rFonts w:ascii="楷体" w:hAnsi="楷体" w:eastAsia="楷体" w:cs="仿宋_GB2312"/>
          <w:color w:val="191919"/>
          <w:sz w:val="32"/>
          <w:szCs w:val="32"/>
          <w:shd w:val="clear" w:color="auto" w:fill="FFFFFF"/>
        </w:rPr>
      </w:pPr>
      <w:r>
        <w:rPr>
          <w:rFonts w:hint="eastAsia" w:ascii="楷体" w:hAnsi="楷体" w:eastAsia="楷体" w:cs="仿宋_GB2312"/>
          <w:color w:val="191919"/>
          <w:sz w:val="32"/>
          <w:szCs w:val="32"/>
          <w:shd w:val="clear" w:color="auto" w:fill="FFFFFF"/>
        </w:rPr>
        <w:t>（二）基本原则</w:t>
      </w:r>
      <w:bookmarkStart w:id="0" w:name="_GoBack"/>
      <w:bookmarkEnd w:id="0"/>
    </w:p>
    <w:p>
      <w:pPr>
        <w:widowControl w:val="0"/>
        <w:spacing w:after="0" w:line="560" w:lineRule="exact"/>
        <w:ind w:firstLine="643" w:firstLineChars="200"/>
        <w:jc w:val="both"/>
        <w:rPr>
          <w:rFonts w:ascii="仿宋_GB2312" w:hAnsi="仿宋_GB2312" w:eastAsia="仿宋_GB2312" w:cs="仿宋_GB2312"/>
          <w:color w:val="191919"/>
          <w:sz w:val="32"/>
          <w:szCs w:val="32"/>
          <w:shd w:val="clear" w:color="auto" w:fill="FFFFFF"/>
        </w:rPr>
      </w:pPr>
      <w:r>
        <w:rPr>
          <w:rFonts w:hint="eastAsia" w:ascii="仿宋_GB2312" w:hAnsi="仿宋_GB2312" w:eastAsia="仿宋_GB2312" w:cs="仿宋_GB2312"/>
          <w:b/>
          <w:color w:val="191919"/>
          <w:sz w:val="32"/>
          <w:szCs w:val="32"/>
          <w:shd w:val="clear" w:color="auto" w:fill="FFFFFF"/>
        </w:rPr>
        <w:t>1.坚持政府引导、群众主体原则。</w:t>
      </w:r>
      <w:r>
        <w:rPr>
          <w:rFonts w:hint="eastAsia" w:ascii="仿宋_GB2312" w:hAnsi="仿宋_GB2312" w:eastAsia="仿宋_GB2312" w:cs="仿宋_GB2312"/>
          <w:color w:val="191919"/>
          <w:sz w:val="32"/>
          <w:szCs w:val="32"/>
          <w:shd w:val="clear" w:color="auto" w:fill="FFFFFF"/>
        </w:rPr>
        <w:t>加强政策支持，尊重农民意愿，保护农民权益，发挥农民主体作用，充分调动广大农民的积极性和主动性，实现共谋共建共管共享。</w:t>
      </w:r>
    </w:p>
    <w:p>
      <w:pPr>
        <w:spacing w:after="0" w:line="560" w:lineRule="exact"/>
        <w:ind w:firstLine="643" w:firstLineChars="200"/>
        <w:jc w:val="both"/>
        <w:rPr>
          <w:rFonts w:ascii="仿宋_GB2312" w:hAnsi="仿宋_GB2312" w:eastAsia="仿宋_GB2312" w:cs="仿宋_GB2312"/>
          <w:color w:val="191919"/>
          <w:sz w:val="32"/>
          <w:szCs w:val="32"/>
          <w:shd w:val="clear" w:color="auto" w:fill="FFFFFF"/>
        </w:rPr>
      </w:pPr>
      <w:r>
        <w:rPr>
          <w:rFonts w:hint="eastAsia" w:ascii="仿宋_GB2312" w:hAnsi="仿宋_GB2312" w:eastAsia="仿宋_GB2312" w:cs="仿宋_GB2312"/>
          <w:b/>
          <w:color w:val="191919"/>
          <w:sz w:val="32"/>
          <w:szCs w:val="32"/>
          <w:shd w:val="clear" w:color="auto" w:fill="FFFFFF"/>
        </w:rPr>
        <w:t>2.坚持自愿参与、先建后补原则。</w:t>
      </w:r>
      <w:r>
        <w:rPr>
          <w:rFonts w:hint="eastAsia" w:ascii="仿宋_GB2312" w:hAnsi="仿宋_GB2312" w:eastAsia="仿宋_GB2312" w:cs="仿宋_GB2312"/>
          <w:color w:val="191919"/>
          <w:sz w:val="32"/>
          <w:szCs w:val="32"/>
          <w:shd w:val="clear" w:color="auto" w:fill="FFFFFF"/>
        </w:rPr>
        <w:t>充分尊重民意</w:t>
      </w:r>
      <w:r>
        <w:rPr>
          <w:rFonts w:hint="eastAsia" w:ascii="仿宋_GB2312" w:hAnsi="仿宋_GB2312" w:eastAsia="仿宋_GB2312" w:cs="仿宋_GB2312"/>
          <w:b/>
          <w:color w:val="191919"/>
          <w:sz w:val="32"/>
          <w:szCs w:val="32"/>
          <w:shd w:val="clear" w:color="auto" w:fill="FFFFFF"/>
        </w:rPr>
        <w:t>，</w:t>
      </w:r>
      <w:r>
        <w:rPr>
          <w:rFonts w:hint="eastAsia" w:ascii="仿宋_GB2312" w:hAnsi="仿宋_GB2312" w:eastAsia="仿宋_GB2312" w:cs="仿宋_GB2312"/>
          <w:color w:val="191919"/>
          <w:sz w:val="32"/>
          <w:szCs w:val="32"/>
          <w:shd w:val="clear" w:color="auto" w:fill="FFFFFF"/>
        </w:rPr>
        <w:t>先申报后补助、不申报不补助，优先支持有意愿的、积极性高的、条件成熟的老屋进行修缮保护。</w:t>
      </w:r>
    </w:p>
    <w:p>
      <w:pPr>
        <w:spacing w:after="0" w:line="560" w:lineRule="exact"/>
        <w:ind w:firstLine="643" w:firstLineChars="200"/>
        <w:jc w:val="both"/>
        <w:rPr>
          <w:rFonts w:ascii="仿宋_GB2312" w:hAnsi="仿宋_GB2312" w:eastAsia="仿宋_GB2312" w:cs="仿宋_GB2312"/>
          <w:color w:val="191919"/>
          <w:sz w:val="32"/>
          <w:szCs w:val="32"/>
          <w:shd w:val="clear" w:color="auto" w:fill="FFFFFF"/>
        </w:rPr>
      </w:pPr>
      <w:r>
        <w:rPr>
          <w:rFonts w:hint="eastAsia" w:ascii="仿宋_GB2312" w:hAnsi="仿宋_GB2312" w:eastAsia="仿宋_GB2312" w:cs="仿宋_GB2312"/>
          <w:b/>
          <w:color w:val="191919"/>
          <w:sz w:val="32"/>
          <w:szCs w:val="32"/>
          <w:shd w:val="clear" w:color="auto" w:fill="FFFFFF"/>
        </w:rPr>
        <w:t>3.坚持修旧如旧、建管同步原则。</w:t>
      </w:r>
      <w:r>
        <w:rPr>
          <w:rFonts w:hint="eastAsia" w:ascii="仿宋_GB2312" w:hAnsi="仿宋_GB2312" w:eastAsia="仿宋_GB2312" w:cs="仿宋_GB2312"/>
          <w:color w:val="191919"/>
          <w:sz w:val="32"/>
          <w:szCs w:val="32"/>
          <w:shd w:val="clear" w:color="auto" w:fill="FFFFFF"/>
        </w:rPr>
        <w:t>不盲目拆旧建新，尽量使用原有构件，能小修的不大修，保留客家特色元素和原有建筑风貌，做到和谐、协调、自然美观。明确属地管护责任，构建长效维护管理制度。</w:t>
      </w:r>
    </w:p>
    <w:p>
      <w:pPr>
        <w:spacing w:after="0" w:line="560" w:lineRule="exact"/>
        <w:ind w:firstLine="640" w:firstLineChars="200"/>
        <w:jc w:val="both"/>
        <w:rPr>
          <w:rFonts w:ascii="楷体" w:hAnsi="楷体" w:eastAsia="楷体" w:cs="仿宋_GB2312"/>
          <w:color w:val="191919"/>
          <w:sz w:val="32"/>
          <w:szCs w:val="32"/>
          <w:shd w:val="clear" w:color="auto" w:fill="FFFFFF"/>
        </w:rPr>
      </w:pPr>
      <w:r>
        <w:rPr>
          <w:rFonts w:hint="eastAsia" w:ascii="楷体" w:hAnsi="楷体" w:eastAsia="楷体" w:cs="仿宋_GB2312"/>
          <w:color w:val="191919"/>
          <w:sz w:val="32"/>
          <w:szCs w:val="32"/>
          <w:shd w:val="clear" w:color="auto" w:fill="FFFFFF"/>
        </w:rPr>
        <w:t>（三）目标任务</w:t>
      </w:r>
    </w:p>
    <w:p>
      <w:pPr>
        <w:spacing w:after="0" w:line="560" w:lineRule="exact"/>
        <w:ind w:firstLine="640" w:firstLineChars="200"/>
        <w:jc w:val="both"/>
        <w:rPr>
          <w:rFonts w:ascii="仿宋_GB2312" w:hAnsi="仿宋_GB2312" w:eastAsia="仿宋_GB2312" w:cs="仿宋_GB2312"/>
          <w:color w:val="191919"/>
          <w:sz w:val="32"/>
          <w:szCs w:val="32"/>
          <w:shd w:val="clear" w:color="auto" w:fill="FFFFFF"/>
        </w:rPr>
      </w:pPr>
      <w:r>
        <w:rPr>
          <w:rFonts w:hint="eastAsia" w:ascii="仿宋_GB2312" w:hAnsi="仿宋_GB2312" w:eastAsia="仿宋_GB2312" w:cs="仿宋_GB2312"/>
          <w:color w:val="191919"/>
          <w:sz w:val="32"/>
          <w:szCs w:val="32"/>
          <w:shd w:val="clear" w:color="auto" w:fill="FFFFFF"/>
        </w:rPr>
        <w:t>计划利用3年时间，通过财政奖补资金撬动社会资金投入，对全区范围内具有保护价值的传统建筑、名人故居等得到基本修复，实现传统建筑不漏、不破、不脏、不乱，周边环境实现整洁有序，在传统建筑保护修缮和后期利用等方面形成可复制可推广的经验。各镇力争每年完成1个以上拯救老屋行动示范点任务。</w:t>
      </w:r>
    </w:p>
    <w:p>
      <w:pPr>
        <w:spacing w:after="0" w:line="560" w:lineRule="exact"/>
        <w:ind w:firstLine="640" w:firstLineChars="200"/>
        <w:jc w:val="both"/>
        <w:rPr>
          <w:rFonts w:ascii="黑体" w:hAnsi="黑体" w:eastAsia="黑体" w:cs="仿宋_GB2312"/>
          <w:color w:val="191919"/>
          <w:sz w:val="32"/>
          <w:szCs w:val="32"/>
          <w:shd w:val="clear" w:color="auto" w:fill="FFFFFF"/>
        </w:rPr>
      </w:pPr>
      <w:r>
        <w:rPr>
          <w:rFonts w:hint="eastAsia" w:ascii="黑体" w:hAnsi="黑体" w:eastAsia="黑体" w:cs="楷体_GB2312"/>
          <w:bCs/>
          <w:color w:val="191919"/>
          <w:sz w:val="32"/>
          <w:szCs w:val="32"/>
          <w:shd w:val="clear" w:color="auto" w:fill="FFFFFF"/>
        </w:rPr>
        <w:t>二、实施范围</w:t>
      </w:r>
    </w:p>
    <w:p>
      <w:pPr>
        <w:spacing w:after="0" w:line="560" w:lineRule="exact"/>
        <w:ind w:firstLine="640" w:firstLineChars="200"/>
        <w:jc w:val="both"/>
        <w:rPr>
          <w:rFonts w:ascii="仿宋_GB2312" w:hAnsi="仿宋_GB2312" w:eastAsia="仿宋_GB2312" w:cs="仿宋_GB2312"/>
          <w:color w:val="191919"/>
          <w:sz w:val="32"/>
          <w:szCs w:val="32"/>
          <w:shd w:val="clear" w:color="auto" w:fill="FFFFFF"/>
        </w:rPr>
      </w:pPr>
      <w:r>
        <w:rPr>
          <w:rFonts w:hint="eastAsia" w:ascii="仿宋_GB2312" w:hAnsi="仿宋_GB2312" w:eastAsia="仿宋_GB2312" w:cs="仿宋_GB2312"/>
          <w:color w:val="191919"/>
          <w:sz w:val="32"/>
          <w:szCs w:val="32"/>
          <w:shd w:val="clear" w:color="auto" w:fill="FFFFFF"/>
        </w:rPr>
        <w:t>全区范围内的县级以上文物保护单位、历史建筑、具有保护价值的传统风貌建筑、特色建筑、名人故居、50年以上的老屋、祖屋、祠堂等。以村庄主要道路、人口聚集区范围内为重点，老屋比较集中、风貌较为统一、连线连片且建筑总占地面积不少于3000平方米的区域优先。其中历史建筑和传统风貌建筑的保护利用参照《广东省历史建筑和传统风貌建筑保护利用工作指引（实行）》相关规定进行实施；县级以上文物保护单位按照《广东省实施文物保护法办法》相关规定进行实施，修缮工程设计方案应当根据文物保护单位的级别，经相应的文物行政主管部门同意后，报规划行政主管部门批准。</w:t>
      </w:r>
    </w:p>
    <w:p>
      <w:pPr>
        <w:spacing w:after="0" w:line="560" w:lineRule="exact"/>
        <w:ind w:firstLine="640" w:firstLineChars="200"/>
        <w:jc w:val="both"/>
        <w:rPr>
          <w:rFonts w:ascii="黑体" w:hAnsi="黑体" w:eastAsia="黑体" w:cs="楷体_GB2312"/>
          <w:bCs/>
          <w:color w:val="191919"/>
          <w:sz w:val="32"/>
          <w:szCs w:val="32"/>
          <w:shd w:val="clear" w:color="auto" w:fill="FFFFFF"/>
        </w:rPr>
      </w:pPr>
      <w:r>
        <w:rPr>
          <w:rFonts w:hint="eastAsia" w:ascii="黑体" w:hAnsi="黑体" w:eastAsia="黑体" w:cs="楷体_GB2312"/>
          <w:bCs/>
          <w:color w:val="191919"/>
          <w:sz w:val="32"/>
          <w:szCs w:val="32"/>
          <w:shd w:val="clear" w:color="auto" w:fill="FFFFFF"/>
        </w:rPr>
        <w:t>三、奖补条件及标准</w:t>
      </w:r>
    </w:p>
    <w:p>
      <w:pPr>
        <w:spacing w:after="0"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拯救老屋行动”采取奖补政策，实施主体需先筹集项目预算50%以上的资金，方可申请项目奖补资金。原则上奖补资金不超过项目总预算金额的30%。同时，一般建筑物每栋奖补资金不超过30万元，县级以上文物奖补资金不超过50万元。老屋已享受其他项目补助或贷款贴息的，不得再按本办法进行奖补。具体奖补标准如下：</w:t>
      </w:r>
    </w:p>
    <w:tbl>
      <w:tblPr>
        <w:tblStyle w:val="7"/>
        <w:tblW w:w="91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80"/>
        <w:gridCol w:w="3030"/>
        <w:gridCol w:w="33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jc w:val="center"/>
        </w:trPr>
        <w:tc>
          <w:tcPr>
            <w:tcW w:w="2780" w:type="dxa"/>
            <w:vAlign w:val="center"/>
          </w:tcPr>
          <w:p>
            <w:pPr>
              <w:spacing w:after="0" w:line="300" w:lineRule="exact"/>
              <w:jc w:val="center"/>
              <w:rPr>
                <w:rFonts w:ascii="楷体" w:hAnsi="楷体" w:eastAsia="楷体"/>
                <w:sz w:val="28"/>
                <w:szCs w:val="32"/>
              </w:rPr>
            </w:pPr>
            <w:r>
              <w:rPr>
                <w:rFonts w:hint="eastAsia" w:ascii="楷体" w:hAnsi="楷体" w:eastAsia="楷体"/>
                <w:sz w:val="28"/>
                <w:szCs w:val="32"/>
              </w:rPr>
              <w:t>建筑主体占地面积</w:t>
            </w:r>
          </w:p>
          <w:p>
            <w:pPr>
              <w:spacing w:after="0" w:line="300" w:lineRule="exact"/>
              <w:jc w:val="center"/>
              <w:rPr>
                <w:rFonts w:ascii="楷体" w:hAnsi="楷体" w:eastAsia="楷体"/>
                <w:sz w:val="28"/>
                <w:szCs w:val="32"/>
              </w:rPr>
            </w:pPr>
            <w:r>
              <w:rPr>
                <w:rFonts w:hint="eastAsia" w:ascii="楷体" w:hAnsi="楷体" w:eastAsia="楷体"/>
                <w:sz w:val="28"/>
                <w:szCs w:val="32"/>
              </w:rPr>
              <w:t>（</w:t>
            </w:r>
            <w:r>
              <w:rPr>
                <w:rFonts w:hint="eastAsia" w:ascii="楷体" w:hAnsi="楷体" w:eastAsia="楷体" w:cs="宋体"/>
                <w:sz w:val="28"/>
                <w:szCs w:val="32"/>
              </w:rPr>
              <w:t>㎡</w:t>
            </w:r>
            <w:r>
              <w:rPr>
                <w:rFonts w:hint="eastAsia" w:ascii="楷体" w:hAnsi="楷体" w:eastAsia="楷体"/>
                <w:sz w:val="28"/>
                <w:szCs w:val="32"/>
              </w:rPr>
              <w:t>）</w:t>
            </w:r>
          </w:p>
        </w:tc>
        <w:tc>
          <w:tcPr>
            <w:tcW w:w="3030" w:type="dxa"/>
            <w:vAlign w:val="center"/>
          </w:tcPr>
          <w:p>
            <w:pPr>
              <w:spacing w:after="0" w:line="300" w:lineRule="exact"/>
              <w:jc w:val="center"/>
              <w:rPr>
                <w:rFonts w:ascii="楷体" w:hAnsi="楷体" w:eastAsia="楷体"/>
                <w:sz w:val="28"/>
                <w:szCs w:val="32"/>
              </w:rPr>
            </w:pPr>
            <w:r>
              <w:rPr>
                <w:rFonts w:hint="eastAsia" w:ascii="楷体" w:hAnsi="楷体" w:eastAsia="楷体"/>
                <w:sz w:val="28"/>
                <w:szCs w:val="32"/>
              </w:rPr>
              <w:t>一般建筑物奖补金额</w:t>
            </w:r>
          </w:p>
          <w:p>
            <w:pPr>
              <w:spacing w:after="0" w:line="300" w:lineRule="exact"/>
              <w:jc w:val="center"/>
              <w:rPr>
                <w:rFonts w:ascii="楷体" w:hAnsi="楷体" w:eastAsia="楷体"/>
                <w:sz w:val="28"/>
                <w:szCs w:val="32"/>
              </w:rPr>
            </w:pPr>
            <w:r>
              <w:rPr>
                <w:rFonts w:hint="eastAsia" w:ascii="楷体" w:hAnsi="楷体" w:eastAsia="楷体"/>
                <w:sz w:val="28"/>
                <w:szCs w:val="32"/>
              </w:rPr>
              <w:t>（万元）</w:t>
            </w:r>
          </w:p>
        </w:tc>
        <w:tc>
          <w:tcPr>
            <w:tcW w:w="3351" w:type="dxa"/>
            <w:vAlign w:val="center"/>
          </w:tcPr>
          <w:p>
            <w:pPr>
              <w:spacing w:after="0" w:line="300" w:lineRule="exact"/>
              <w:jc w:val="center"/>
              <w:rPr>
                <w:rFonts w:ascii="楷体" w:hAnsi="楷体" w:eastAsia="楷体"/>
                <w:sz w:val="28"/>
                <w:szCs w:val="32"/>
              </w:rPr>
            </w:pPr>
            <w:r>
              <w:rPr>
                <w:rFonts w:hint="eastAsia" w:ascii="楷体" w:hAnsi="楷体" w:eastAsia="楷体"/>
                <w:sz w:val="28"/>
                <w:szCs w:val="32"/>
              </w:rPr>
              <w:t>县级及以上文物奖补金额</w:t>
            </w:r>
          </w:p>
          <w:p>
            <w:pPr>
              <w:spacing w:after="0" w:line="300" w:lineRule="exact"/>
              <w:jc w:val="center"/>
              <w:rPr>
                <w:rFonts w:ascii="楷体" w:hAnsi="楷体" w:eastAsia="楷体"/>
                <w:sz w:val="28"/>
                <w:szCs w:val="32"/>
              </w:rPr>
            </w:pPr>
            <w:r>
              <w:rPr>
                <w:rFonts w:hint="eastAsia" w:ascii="楷体" w:hAnsi="楷体" w:eastAsia="楷体"/>
                <w:sz w:val="28"/>
                <w:szCs w:val="32"/>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2780" w:type="dxa"/>
            <w:vAlign w:val="center"/>
          </w:tcPr>
          <w:p>
            <w:pPr>
              <w:spacing w:after="0" w:line="300" w:lineRule="exact"/>
              <w:jc w:val="center"/>
              <w:rPr>
                <w:rFonts w:ascii="仿宋_GB2312" w:eastAsia="仿宋_GB2312"/>
                <w:sz w:val="28"/>
                <w:szCs w:val="32"/>
              </w:rPr>
            </w:pPr>
            <w:r>
              <w:rPr>
                <w:rFonts w:hint="eastAsia" w:ascii="仿宋_GB2312" w:eastAsia="仿宋_GB2312"/>
                <w:sz w:val="28"/>
                <w:szCs w:val="32"/>
              </w:rPr>
              <w:t>500及以下</w:t>
            </w:r>
          </w:p>
        </w:tc>
        <w:tc>
          <w:tcPr>
            <w:tcW w:w="3030" w:type="dxa"/>
            <w:vAlign w:val="center"/>
          </w:tcPr>
          <w:p>
            <w:pPr>
              <w:spacing w:after="0" w:line="300" w:lineRule="exact"/>
              <w:jc w:val="center"/>
              <w:rPr>
                <w:rFonts w:ascii="仿宋_GB2312" w:eastAsia="仿宋_GB2312"/>
                <w:sz w:val="28"/>
                <w:szCs w:val="32"/>
              </w:rPr>
            </w:pPr>
            <w:r>
              <w:rPr>
                <w:rFonts w:hint="eastAsia" w:ascii="仿宋_GB2312" w:eastAsia="仿宋_GB2312"/>
                <w:sz w:val="28"/>
                <w:szCs w:val="32"/>
              </w:rPr>
              <w:t>5</w:t>
            </w:r>
          </w:p>
        </w:tc>
        <w:tc>
          <w:tcPr>
            <w:tcW w:w="3351" w:type="dxa"/>
            <w:vAlign w:val="center"/>
          </w:tcPr>
          <w:p>
            <w:pPr>
              <w:spacing w:after="0" w:line="300" w:lineRule="exact"/>
              <w:jc w:val="center"/>
              <w:rPr>
                <w:rFonts w:ascii="仿宋_GB2312" w:eastAsia="仿宋_GB2312"/>
                <w:sz w:val="28"/>
                <w:szCs w:val="32"/>
              </w:rPr>
            </w:pPr>
            <w:r>
              <w:rPr>
                <w:rFonts w:hint="eastAsia" w:ascii="仿宋_GB2312" w:eastAsia="仿宋_GB2312"/>
                <w:sz w:val="28"/>
                <w:szCs w:val="32"/>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2780" w:type="dxa"/>
            <w:vAlign w:val="center"/>
          </w:tcPr>
          <w:p>
            <w:pPr>
              <w:spacing w:after="0" w:line="300" w:lineRule="exact"/>
              <w:jc w:val="center"/>
              <w:rPr>
                <w:rFonts w:ascii="仿宋_GB2312" w:eastAsia="仿宋_GB2312"/>
                <w:sz w:val="28"/>
                <w:szCs w:val="32"/>
              </w:rPr>
            </w:pPr>
            <w:r>
              <w:rPr>
                <w:rFonts w:hint="eastAsia" w:ascii="仿宋_GB2312" w:eastAsia="仿宋_GB2312"/>
                <w:sz w:val="28"/>
                <w:szCs w:val="32"/>
              </w:rPr>
              <w:t>500-1000</w:t>
            </w:r>
          </w:p>
        </w:tc>
        <w:tc>
          <w:tcPr>
            <w:tcW w:w="3030" w:type="dxa"/>
            <w:vAlign w:val="center"/>
          </w:tcPr>
          <w:p>
            <w:pPr>
              <w:spacing w:after="0" w:line="300" w:lineRule="exact"/>
              <w:jc w:val="center"/>
              <w:rPr>
                <w:rFonts w:ascii="仿宋_GB2312" w:eastAsia="仿宋_GB2312"/>
                <w:sz w:val="28"/>
                <w:szCs w:val="32"/>
              </w:rPr>
            </w:pPr>
            <w:r>
              <w:rPr>
                <w:rFonts w:hint="eastAsia" w:ascii="仿宋_GB2312" w:eastAsia="仿宋_GB2312"/>
                <w:sz w:val="28"/>
                <w:szCs w:val="32"/>
              </w:rPr>
              <w:t>10</w:t>
            </w:r>
          </w:p>
        </w:tc>
        <w:tc>
          <w:tcPr>
            <w:tcW w:w="3351" w:type="dxa"/>
            <w:vAlign w:val="center"/>
          </w:tcPr>
          <w:p>
            <w:pPr>
              <w:spacing w:after="0" w:line="300" w:lineRule="exact"/>
              <w:jc w:val="center"/>
              <w:rPr>
                <w:rFonts w:ascii="仿宋_GB2312" w:eastAsia="仿宋_GB2312"/>
                <w:sz w:val="28"/>
                <w:szCs w:val="32"/>
              </w:rPr>
            </w:pPr>
            <w:r>
              <w:rPr>
                <w:rFonts w:hint="eastAsia" w:ascii="仿宋_GB2312" w:eastAsia="仿宋_GB2312"/>
                <w:sz w:val="28"/>
                <w:szCs w:val="32"/>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2780" w:type="dxa"/>
            <w:vAlign w:val="center"/>
          </w:tcPr>
          <w:p>
            <w:pPr>
              <w:spacing w:after="0" w:line="300" w:lineRule="exact"/>
              <w:jc w:val="center"/>
              <w:rPr>
                <w:rFonts w:ascii="仿宋_GB2312" w:eastAsia="仿宋_GB2312"/>
                <w:sz w:val="28"/>
                <w:szCs w:val="32"/>
              </w:rPr>
            </w:pPr>
            <w:r>
              <w:rPr>
                <w:rFonts w:hint="eastAsia" w:ascii="仿宋_GB2312" w:eastAsia="仿宋_GB2312"/>
                <w:sz w:val="28"/>
                <w:szCs w:val="32"/>
              </w:rPr>
              <w:t>1000-1500</w:t>
            </w:r>
          </w:p>
        </w:tc>
        <w:tc>
          <w:tcPr>
            <w:tcW w:w="3030" w:type="dxa"/>
            <w:vAlign w:val="center"/>
          </w:tcPr>
          <w:p>
            <w:pPr>
              <w:spacing w:after="0" w:line="300" w:lineRule="exact"/>
              <w:jc w:val="center"/>
              <w:rPr>
                <w:rFonts w:ascii="仿宋_GB2312" w:eastAsia="仿宋_GB2312"/>
                <w:sz w:val="28"/>
                <w:szCs w:val="32"/>
              </w:rPr>
            </w:pPr>
            <w:r>
              <w:rPr>
                <w:rFonts w:hint="eastAsia" w:ascii="仿宋_GB2312" w:eastAsia="仿宋_GB2312"/>
                <w:sz w:val="28"/>
                <w:szCs w:val="32"/>
              </w:rPr>
              <w:t>15</w:t>
            </w:r>
          </w:p>
        </w:tc>
        <w:tc>
          <w:tcPr>
            <w:tcW w:w="3351" w:type="dxa"/>
            <w:vAlign w:val="center"/>
          </w:tcPr>
          <w:p>
            <w:pPr>
              <w:spacing w:after="0" w:line="300" w:lineRule="exact"/>
              <w:jc w:val="center"/>
              <w:rPr>
                <w:rFonts w:ascii="仿宋_GB2312" w:eastAsia="仿宋_GB2312"/>
                <w:sz w:val="28"/>
                <w:szCs w:val="32"/>
              </w:rPr>
            </w:pPr>
            <w:r>
              <w:rPr>
                <w:rFonts w:hint="eastAsia" w:ascii="仿宋_GB2312" w:eastAsia="仿宋_GB2312"/>
                <w:sz w:val="28"/>
                <w:szCs w:val="32"/>
              </w:rPr>
              <w:t>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2780" w:type="dxa"/>
            <w:vAlign w:val="center"/>
          </w:tcPr>
          <w:p>
            <w:pPr>
              <w:spacing w:after="0" w:line="300" w:lineRule="exact"/>
              <w:jc w:val="center"/>
              <w:rPr>
                <w:rFonts w:ascii="仿宋_GB2312" w:eastAsia="仿宋_GB2312"/>
                <w:sz w:val="28"/>
                <w:szCs w:val="32"/>
              </w:rPr>
            </w:pPr>
            <w:r>
              <w:rPr>
                <w:rFonts w:hint="eastAsia" w:ascii="仿宋_GB2312" w:eastAsia="仿宋_GB2312"/>
                <w:sz w:val="28"/>
                <w:szCs w:val="32"/>
              </w:rPr>
              <w:t>1500-2000</w:t>
            </w:r>
          </w:p>
        </w:tc>
        <w:tc>
          <w:tcPr>
            <w:tcW w:w="3030" w:type="dxa"/>
            <w:vAlign w:val="center"/>
          </w:tcPr>
          <w:p>
            <w:pPr>
              <w:spacing w:after="0" w:line="300" w:lineRule="exact"/>
              <w:jc w:val="center"/>
              <w:rPr>
                <w:rFonts w:ascii="仿宋_GB2312" w:eastAsia="仿宋_GB2312"/>
                <w:sz w:val="28"/>
                <w:szCs w:val="32"/>
              </w:rPr>
            </w:pPr>
            <w:r>
              <w:rPr>
                <w:rFonts w:hint="eastAsia" w:ascii="仿宋_GB2312" w:eastAsia="仿宋_GB2312"/>
                <w:sz w:val="28"/>
                <w:szCs w:val="32"/>
              </w:rPr>
              <w:t>20</w:t>
            </w:r>
          </w:p>
        </w:tc>
        <w:tc>
          <w:tcPr>
            <w:tcW w:w="3351" w:type="dxa"/>
            <w:vAlign w:val="center"/>
          </w:tcPr>
          <w:p>
            <w:pPr>
              <w:spacing w:after="0" w:line="300" w:lineRule="exact"/>
              <w:jc w:val="center"/>
              <w:rPr>
                <w:rFonts w:ascii="仿宋_GB2312" w:eastAsia="仿宋_GB2312"/>
                <w:sz w:val="28"/>
                <w:szCs w:val="32"/>
              </w:rPr>
            </w:pPr>
            <w:r>
              <w:rPr>
                <w:rFonts w:hint="eastAsia" w:ascii="仿宋_GB2312" w:eastAsia="仿宋_GB2312"/>
                <w:sz w:val="28"/>
                <w:szCs w:val="32"/>
              </w:rPr>
              <w:t>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2780" w:type="dxa"/>
            <w:vAlign w:val="center"/>
          </w:tcPr>
          <w:p>
            <w:pPr>
              <w:spacing w:after="0" w:line="300" w:lineRule="exact"/>
              <w:jc w:val="center"/>
              <w:rPr>
                <w:rFonts w:ascii="仿宋_GB2312" w:eastAsia="仿宋_GB2312"/>
                <w:sz w:val="28"/>
                <w:szCs w:val="32"/>
              </w:rPr>
            </w:pPr>
            <w:r>
              <w:rPr>
                <w:rFonts w:hint="eastAsia" w:ascii="仿宋_GB2312" w:eastAsia="仿宋_GB2312"/>
                <w:sz w:val="28"/>
                <w:szCs w:val="32"/>
              </w:rPr>
              <w:t>2000-2500</w:t>
            </w:r>
          </w:p>
        </w:tc>
        <w:tc>
          <w:tcPr>
            <w:tcW w:w="3030" w:type="dxa"/>
            <w:vAlign w:val="center"/>
          </w:tcPr>
          <w:p>
            <w:pPr>
              <w:spacing w:after="0" w:line="300" w:lineRule="exact"/>
              <w:jc w:val="center"/>
              <w:rPr>
                <w:rFonts w:ascii="仿宋_GB2312" w:eastAsia="仿宋_GB2312"/>
                <w:sz w:val="28"/>
                <w:szCs w:val="32"/>
              </w:rPr>
            </w:pPr>
            <w:r>
              <w:rPr>
                <w:rFonts w:hint="eastAsia" w:ascii="仿宋_GB2312" w:eastAsia="仿宋_GB2312"/>
                <w:sz w:val="28"/>
                <w:szCs w:val="32"/>
              </w:rPr>
              <w:t>25</w:t>
            </w:r>
          </w:p>
        </w:tc>
        <w:tc>
          <w:tcPr>
            <w:tcW w:w="3351" w:type="dxa"/>
            <w:vAlign w:val="center"/>
          </w:tcPr>
          <w:p>
            <w:pPr>
              <w:spacing w:after="0" w:line="300" w:lineRule="exact"/>
              <w:jc w:val="center"/>
              <w:rPr>
                <w:rFonts w:ascii="仿宋_GB2312" w:eastAsia="仿宋_GB2312"/>
                <w:sz w:val="28"/>
                <w:szCs w:val="32"/>
              </w:rPr>
            </w:pPr>
            <w:r>
              <w:rPr>
                <w:rFonts w:hint="eastAsia" w:ascii="仿宋_GB2312" w:eastAsia="仿宋_GB2312"/>
                <w:sz w:val="28"/>
                <w:szCs w:val="32"/>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2780" w:type="dxa"/>
            <w:vAlign w:val="center"/>
          </w:tcPr>
          <w:p>
            <w:pPr>
              <w:spacing w:after="0" w:line="300" w:lineRule="exact"/>
              <w:jc w:val="center"/>
              <w:rPr>
                <w:rFonts w:ascii="仿宋_GB2312" w:eastAsia="仿宋_GB2312"/>
                <w:sz w:val="28"/>
                <w:szCs w:val="32"/>
              </w:rPr>
            </w:pPr>
            <w:r>
              <w:rPr>
                <w:rFonts w:hint="eastAsia" w:ascii="仿宋_GB2312" w:eastAsia="仿宋_GB2312"/>
                <w:sz w:val="28"/>
                <w:szCs w:val="32"/>
              </w:rPr>
              <w:t>2500-3000</w:t>
            </w:r>
          </w:p>
        </w:tc>
        <w:tc>
          <w:tcPr>
            <w:tcW w:w="3030" w:type="dxa"/>
            <w:vAlign w:val="center"/>
          </w:tcPr>
          <w:p>
            <w:pPr>
              <w:spacing w:after="0" w:line="300" w:lineRule="exact"/>
              <w:jc w:val="center"/>
              <w:rPr>
                <w:rFonts w:ascii="仿宋_GB2312" w:eastAsia="仿宋_GB2312"/>
                <w:sz w:val="28"/>
                <w:szCs w:val="32"/>
              </w:rPr>
            </w:pPr>
            <w:r>
              <w:rPr>
                <w:rFonts w:hint="eastAsia" w:ascii="仿宋_GB2312" w:eastAsia="仿宋_GB2312"/>
                <w:sz w:val="28"/>
                <w:szCs w:val="32"/>
              </w:rPr>
              <w:t>30</w:t>
            </w:r>
          </w:p>
        </w:tc>
        <w:tc>
          <w:tcPr>
            <w:tcW w:w="3351" w:type="dxa"/>
            <w:vAlign w:val="center"/>
          </w:tcPr>
          <w:p>
            <w:pPr>
              <w:spacing w:after="0" w:line="300" w:lineRule="exact"/>
              <w:jc w:val="center"/>
              <w:rPr>
                <w:rFonts w:ascii="仿宋_GB2312" w:eastAsia="仿宋_GB2312"/>
                <w:sz w:val="28"/>
                <w:szCs w:val="32"/>
              </w:rPr>
            </w:pPr>
            <w:r>
              <w:rPr>
                <w:rFonts w:hint="eastAsia" w:ascii="仿宋_GB2312" w:eastAsia="仿宋_GB2312"/>
                <w:sz w:val="28"/>
                <w:szCs w:val="32"/>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2780" w:type="dxa"/>
            <w:vAlign w:val="center"/>
          </w:tcPr>
          <w:p>
            <w:pPr>
              <w:spacing w:after="0" w:line="300" w:lineRule="exact"/>
              <w:jc w:val="center"/>
              <w:rPr>
                <w:rFonts w:ascii="仿宋_GB2312" w:eastAsia="仿宋_GB2312"/>
                <w:sz w:val="28"/>
                <w:szCs w:val="32"/>
              </w:rPr>
            </w:pPr>
            <w:r>
              <w:rPr>
                <w:rFonts w:hint="eastAsia" w:ascii="仿宋_GB2312" w:eastAsia="仿宋_GB2312"/>
                <w:sz w:val="28"/>
                <w:szCs w:val="32"/>
              </w:rPr>
              <w:t>3000以上</w:t>
            </w:r>
          </w:p>
        </w:tc>
        <w:tc>
          <w:tcPr>
            <w:tcW w:w="3030" w:type="dxa"/>
            <w:vAlign w:val="center"/>
          </w:tcPr>
          <w:p>
            <w:pPr>
              <w:spacing w:after="0" w:line="300" w:lineRule="exact"/>
              <w:jc w:val="center"/>
              <w:rPr>
                <w:rFonts w:ascii="仿宋_GB2312" w:eastAsia="仿宋_GB2312"/>
                <w:sz w:val="28"/>
                <w:szCs w:val="32"/>
              </w:rPr>
            </w:pPr>
            <w:r>
              <w:rPr>
                <w:rFonts w:hint="eastAsia" w:ascii="仿宋_GB2312" w:eastAsia="仿宋_GB2312"/>
                <w:sz w:val="28"/>
                <w:szCs w:val="32"/>
              </w:rPr>
              <w:t>30</w:t>
            </w:r>
          </w:p>
        </w:tc>
        <w:tc>
          <w:tcPr>
            <w:tcW w:w="3351" w:type="dxa"/>
            <w:vAlign w:val="center"/>
          </w:tcPr>
          <w:p>
            <w:pPr>
              <w:spacing w:after="0" w:line="300" w:lineRule="exact"/>
              <w:jc w:val="center"/>
              <w:rPr>
                <w:rFonts w:ascii="仿宋_GB2312" w:eastAsia="仿宋_GB2312"/>
                <w:sz w:val="28"/>
                <w:szCs w:val="32"/>
              </w:rPr>
            </w:pPr>
            <w:r>
              <w:rPr>
                <w:rFonts w:hint="eastAsia" w:ascii="仿宋_GB2312" w:eastAsia="仿宋_GB2312"/>
                <w:sz w:val="28"/>
                <w:szCs w:val="32"/>
              </w:rPr>
              <w:t>50</w:t>
            </w:r>
          </w:p>
        </w:tc>
      </w:tr>
    </w:tbl>
    <w:p>
      <w:pPr>
        <w:spacing w:after="0" w:line="560" w:lineRule="exact"/>
        <w:ind w:firstLine="640" w:firstLineChars="200"/>
        <w:jc w:val="both"/>
        <w:rPr>
          <w:rFonts w:ascii="黑体" w:hAnsi="黑体" w:eastAsia="黑体" w:cs="楷体_GB2312"/>
          <w:bCs/>
          <w:color w:val="191919"/>
          <w:sz w:val="32"/>
          <w:szCs w:val="32"/>
          <w:shd w:val="clear" w:color="auto" w:fill="FFFFFF"/>
        </w:rPr>
      </w:pPr>
      <w:r>
        <w:rPr>
          <w:rFonts w:hint="eastAsia" w:ascii="黑体" w:hAnsi="黑体" w:eastAsia="黑体" w:cs="楷体_GB2312"/>
          <w:bCs/>
          <w:color w:val="191919"/>
          <w:sz w:val="32"/>
          <w:szCs w:val="32"/>
          <w:shd w:val="clear" w:color="auto" w:fill="FFFFFF"/>
        </w:rPr>
        <w:t>四、申报程序</w:t>
      </w:r>
    </w:p>
    <w:p>
      <w:pPr>
        <w:spacing w:after="0" w:line="560" w:lineRule="exact"/>
        <w:ind w:firstLine="640" w:firstLineChars="200"/>
        <w:jc w:val="both"/>
        <w:rPr>
          <w:rFonts w:ascii="楷体_GB2312" w:hAnsi="仿宋_GB2312" w:eastAsia="楷体_GB2312" w:cs="仿宋_GB2312"/>
          <w:b/>
          <w:bCs/>
          <w:sz w:val="32"/>
          <w:szCs w:val="32"/>
        </w:rPr>
      </w:pPr>
      <w:r>
        <w:rPr>
          <w:rFonts w:hint="eastAsia" w:ascii="楷体_GB2312" w:hAnsi="仿宋_GB2312" w:eastAsia="楷体_GB2312" w:cs="仿宋_GB2312"/>
          <w:bCs/>
          <w:sz w:val="32"/>
          <w:szCs w:val="32"/>
        </w:rPr>
        <w:t>（一）成立理事会。</w:t>
      </w:r>
      <w:r>
        <w:rPr>
          <w:rFonts w:hint="eastAsia" w:ascii="仿宋_GB2312" w:hAnsi="仿宋_GB2312" w:eastAsia="仿宋_GB2312" w:cs="仿宋_GB2312"/>
          <w:sz w:val="32"/>
          <w:szCs w:val="32"/>
        </w:rPr>
        <w:t>老屋所有权人成立理事会，由理事会进行项目奖补申报，填写“拯救老屋行动”建设项目奖补资金申请表，包括老屋基本情况、修缮项目内容、项目预算及资金筹集（需提供预算50%以上的资金筹集证明）等情况，并附上建筑现状图片，向村委会进行申报。</w:t>
      </w:r>
    </w:p>
    <w:p>
      <w:pPr>
        <w:spacing w:after="0" w:line="520" w:lineRule="exact"/>
        <w:ind w:firstLine="640" w:firstLineChars="200"/>
        <w:jc w:val="both"/>
        <w:rPr>
          <w:rFonts w:ascii="仿宋_GB2312" w:hAnsi="仿宋_GB2312" w:eastAsia="仿宋_GB2312" w:cs="仿宋_GB2312"/>
          <w:bCs/>
          <w:sz w:val="32"/>
          <w:szCs w:val="32"/>
        </w:rPr>
      </w:pPr>
      <w:r>
        <w:rPr>
          <w:rFonts w:hint="eastAsia" w:ascii="楷体_GB2312" w:hAnsi="仿宋_GB2312" w:eastAsia="楷体_GB2312" w:cs="仿宋_GB2312"/>
          <w:bCs/>
          <w:sz w:val="32"/>
          <w:szCs w:val="32"/>
        </w:rPr>
        <w:t>（二）村级初审。</w:t>
      </w:r>
      <w:r>
        <w:rPr>
          <w:rFonts w:hint="eastAsia" w:ascii="仿宋_GB2312" w:hAnsi="仿宋_GB2312" w:eastAsia="仿宋_GB2312" w:cs="仿宋_GB2312"/>
          <w:bCs/>
          <w:sz w:val="32"/>
          <w:szCs w:val="32"/>
        </w:rPr>
        <w:t>村委会对上报的项目进行审核，重点审核建设内容、建设规模、资金概算等，防止虚报建设项目，虚增建设规模，故意加大资金需求概算等。村委会完成审核后，汇总向镇政府申报。</w:t>
      </w:r>
    </w:p>
    <w:p>
      <w:pPr>
        <w:spacing w:after="0" w:line="520" w:lineRule="exact"/>
        <w:ind w:firstLine="640" w:firstLineChars="200"/>
        <w:jc w:val="both"/>
        <w:rPr>
          <w:rFonts w:ascii="仿宋_GB2312" w:hAnsi="仿宋_GB2312" w:eastAsia="仿宋_GB2312" w:cs="仿宋_GB2312"/>
          <w:bCs/>
          <w:sz w:val="32"/>
          <w:szCs w:val="32"/>
        </w:rPr>
      </w:pPr>
      <w:r>
        <w:rPr>
          <w:rFonts w:hint="eastAsia" w:ascii="楷体_GB2312" w:hAnsi="仿宋_GB2312" w:eastAsia="楷体_GB2312" w:cs="仿宋_GB2312"/>
          <w:bCs/>
          <w:sz w:val="32"/>
          <w:szCs w:val="32"/>
        </w:rPr>
        <w:t>（三）镇级审核。</w:t>
      </w:r>
      <w:r>
        <w:rPr>
          <w:rFonts w:hint="eastAsia" w:ascii="仿宋_GB2312" w:hAnsi="仿宋_GB2312" w:eastAsia="仿宋_GB2312" w:cs="仿宋_GB2312"/>
          <w:sz w:val="32"/>
          <w:szCs w:val="32"/>
        </w:rPr>
        <w:t>镇政府负责对村委会上报的建设项目进行实地审核，</w:t>
      </w:r>
      <w:r>
        <w:rPr>
          <w:rFonts w:hint="eastAsia" w:ascii="仿宋_GB2312" w:hAnsi="仿宋_GB2312" w:eastAsia="仿宋_GB2312" w:cs="仿宋_GB2312"/>
          <w:bCs/>
          <w:sz w:val="32"/>
          <w:szCs w:val="32"/>
        </w:rPr>
        <w:t>确保申报项目真实性，</w:t>
      </w:r>
      <w:r>
        <w:rPr>
          <w:rFonts w:hint="eastAsia" w:ascii="仿宋_GB2312" w:hAnsi="仿宋_GB2312" w:eastAsia="仿宋_GB2312" w:cs="仿宋_GB2312"/>
          <w:sz w:val="32"/>
          <w:szCs w:val="32"/>
        </w:rPr>
        <w:t>对批准建设的项目进行公示，并汇总上报区委农办备案。</w:t>
      </w:r>
    </w:p>
    <w:p>
      <w:pPr>
        <w:spacing w:after="0" w:line="560" w:lineRule="exact"/>
        <w:jc w:val="both"/>
        <w:rPr>
          <w:rFonts w:ascii="仿宋_GB2312" w:hAnsi="仿宋_GB2312" w:eastAsia="仿宋_GB2312" w:cs="仿宋_GB2312"/>
          <w:sz w:val="32"/>
          <w:szCs w:val="32"/>
        </w:rPr>
      </w:pPr>
      <w:r>
        <w:rPr>
          <w:rFonts w:hint="eastAsia" w:ascii="楷体_GB2312" w:hAnsi="仿宋_GB2312" w:eastAsia="楷体_GB2312" w:cs="仿宋_GB2312"/>
          <w:bCs/>
          <w:sz w:val="32"/>
          <w:szCs w:val="32"/>
        </w:rPr>
        <w:t xml:space="preserve">    （四）区级审核。</w:t>
      </w:r>
      <w:r>
        <w:rPr>
          <w:rFonts w:hint="eastAsia" w:ascii="仿宋_GB2312" w:hAnsi="仿宋_GB2312" w:eastAsia="仿宋_GB2312" w:cs="仿宋_GB2312"/>
          <w:sz w:val="32"/>
          <w:szCs w:val="32"/>
        </w:rPr>
        <w:t>区级建立老屋修缮项目库；</w:t>
      </w:r>
      <w:r>
        <w:rPr>
          <w:rFonts w:hint="eastAsia" w:ascii="仿宋_GB2312" w:eastAsia="仿宋_GB2312"/>
          <w:color w:val="000000" w:themeColor="text1"/>
          <w:sz w:val="32"/>
          <w:szCs w:val="32"/>
        </w:rPr>
        <w:t>区委农办组织区各相关单位，</w:t>
      </w:r>
      <w:r>
        <w:rPr>
          <w:rFonts w:hint="eastAsia" w:ascii="仿宋_GB2312" w:hAnsi="仿宋_GB2312" w:eastAsia="仿宋_GB2312" w:cs="仿宋_GB2312"/>
          <w:sz w:val="32"/>
          <w:szCs w:val="32"/>
        </w:rPr>
        <w:t>对镇级上报项目进行审核，确定</w:t>
      </w:r>
      <w:r>
        <w:rPr>
          <w:rFonts w:hint="eastAsia" w:ascii="仿宋_GB2312" w:eastAsia="仿宋_GB2312"/>
          <w:color w:val="000000" w:themeColor="text1"/>
          <w:sz w:val="32"/>
          <w:szCs w:val="32"/>
        </w:rPr>
        <w:t>优先实施的项目，</w:t>
      </w:r>
      <w:r>
        <w:rPr>
          <w:rFonts w:hint="eastAsia" w:ascii="仿宋_GB2312" w:hAnsi="仿宋_GB2312" w:eastAsia="仿宋_GB2312" w:cs="仿宋_GB2312"/>
          <w:sz w:val="32"/>
          <w:szCs w:val="32"/>
        </w:rPr>
        <w:t>并呈</w:t>
      </w:r>
      <w:r>
        <w:rPr>
          <w:rFonts w:hint="eastAsia" w:ascii="仿宋_GB2312" w:eastAsia="仿宋_GB2312"/>
          <w:color w:val="000000" w:themeColor="text1"/>
          <w:sz w:val="32"/>
          <w:szCs w:val="32"/>
        </w:rPr>
        <w:t>报</w:t>
      </w:r>
      <w:r>
        <w:rPr>
          <w:rFonts w:hint="eastAsia" w:ascii="仿宋_GB2312" w:eastAsia="仿宋_GB2312"/>
          <w:color w:val="000000" w:themeColor="text1"/>
          <w:sz w:val="32"/>
          <w:szCs w:val="32"/>
          <w:lang w:val="zh-CN"/>
        </w:rPr>
        <w:t>区政府</w:t>
      </w:r>
      <w:r>
        <w:rPr>
          <w:rFonts w:hint="eastAsia" w:ascii="仿宋_GB2312" w:eastAsia="仿宋_GB2312"/>
          <w:color w:val="000000" w:themeColor="text1"/>
          <w:sz w:val="32"/>
          <w:szCs w:val="32"/>
        </w:rPr>
        <w:t>批准同意后</w:t>
      </w:r>
      <w:r>
        <w:rPr>
          <w:rFonts w:hint="eastAsia" w:ascii="仿宋_GB2312" w:eastAsia="仿宋_GB2312"/>
          <w:color w:val="000000" w:themeColor="text1"/>
          <w:sz w:val="32"/>
          <w:szCs w:val="32"/>
          <w:lang w:val="zh-CN"/>
        </w:rPr>
        <w:t>方可</w:t>
      </w:r>
      <w:r>
        <w:rPr>
          <w:rFonts w:hint="eastAsia" w:ascii="仿宋_GB2312" w:eastAsia="仿宋_GB2312"/>
          <w:color w:val="000000" w:themeColor="text1"/>
          <w:sz w:val="32"/>
          <w:szCs w:val="32"/>
        </w:rPr>
        <w:t>实施。</w:t>
      </w:r>
    </w:p>
    <w:p>
      <w:pPr>
        <w:spacing w:after="0" w:line="560" w:lineRule="exact"/>
        <w:ind w:firstLine="640" w:firstLineChars="200"/>
        <w:jc w:val="both"/>
        <w:rPr>
          <w:rFonts w:ascii="仿宋_GB2312" w:hAnsi="仿宋_GB2312" w:eastAsia="仿宋_GB2312" w:cs="仿宋_GB2312"/>
          <w:sz w:val="32"/>
          <w:szCs w:val="32"/>
        </w:rPr>
      </w:pPr>
      <w:r>
        <w:rPr>
          <w:rFonts w:hint="eastAsia" w:ascii="楷体_GB2312" w:hAnsi="仿宋_GB2312" w:eastAsia="楷体_GB2312" w:cs="仿宋_GB2312"/>
          <w:bCs/>
          <w:sz w:val="32"/>
          <w:szCs w:val="32"/>
        </w:rPr>
        <w:t>（五）组织实施。</w:t>
      </w:r>
      <w:r>
        <w:rPr>
          <w:rFonts w:hint="eastAsia" w:ascii="仿宋_GB2312" w:hAnsi="仿宋_GB2312" w:eastAsia="仿宋_GB2312" w:cs="仿宋_GB2312"/>
          <w:sz w:val="32"/>
          <w:szCs w:val="32"/>
        </w:rPr>
        <w:t>老屋修缮项目由村民理事会组织实施，可组织乡村工匠进行实施，也可承包给专业公司进行实施。</w:t>
      </w:r>
    </w:p>
    <w:p>
      <w:pPr>
        <w:spacing w:after="0" w:line="560" w:lineRule="exact"/>
        <w:ind w:firstLine="640" w:firstLineChars="200"/>
        <w:jc w:val="both"/>
        <w:rPr>
          <w:rFonts w:ascii="仿宋_GB2312" w:hAnsi="仿宋_GB2312" w:eastAsia="仿宋_GB2312" w:cs="仿宋_GB2312"/>
          <w:sz w:val="32"/>
          <w:szCs w:val="32"/>
        </w:rPr>
      </w:pPr>
      <w:r>
        <w:rPr>
          <w:rFonts w:hint="eastAsia" w:ascii="楷体_GB2312" w:hAnsi="仿宋_GB2312" w:eastAsia="楷体_GB2312" w:cs="仿宋_GB2312"/>
          <w:bCs/>
          <w:sz w:val="32"/>
          <w:szCs w:val="32"/>
        </w:rPr>
        <w:t>（六）竣工验收。</w:t>
      </w:r>
      <w:r>
        <w:rPr>
          <w:rFonts w:hint="eastAsia" w:ascii="仿宋_GB2312" w:hAnsi="仿宋_GB2312" w:eastAsia="仿宋_GB2312" w:cs="仿宋_GB2312"/>
          <w:sz w:val="32"/>
          <w:szCs w:val="32"/>
        </w:rPr>
        <w:t>项目建成竣工后，由各村按照承诺书及奖补标准进行初步验收，然后报镇级申请验收。镇验收通过后，报送区委农办备案。区委农办将按照镇级验收结果，组织相关部门进行抽查核实。</w:t>
      </w:r>
    </w:p>
    <w:p>
      <w:pPr>
        <w:spacing w:after="0" w:line="560" w:lineRule="exact"/>
        <w:ind w:firstLine="640" w:firstLineChars="200"/>
        <w:jc w:val="both"/>
        <w:rPr>
          <w:rFonts w:ascii="仿宋_GB2312" w:hAnsi="仿宋_GB2312" w:eastAsia="仿宋_GB2312" w:cs="仿宋_GB2312"/>
          <w:b/>
          <w:bCs/>
          <w:sz w:val="32"/>
          <w:szCs w:val="32"/>
        </w:rPr>
      </w:pPr>
      <w:r>
        <w:rPr>
          <w:rFonts w:hint="eastAsia" w:ascii="楷体_GB2312" w:hAnsi="仿宋_GB2312" w:eastAsia="楷体_GB2312" w:cs="仿宋_GB2312"/>
          <w:bCs/>
          <w:sz w:val="32"/>
          <w:szCs w:val="32"/>
        </w:rPr>
        <w:t>（七）资金拨付。</w:t>
      </w:r>
      <w:r>
        <w:rPr>
          <w:rFonts w:hint="eastAsia" w:ascii="仿宋_GB2312" w:hAnsi="仿宋_GB2312" w:eastAsia="仿宋_GB2312" w:cs="仿宋_GB2312"/>
          <w:sz w:val="32"/>
          <w:szCs w:val="32"/>
        </w:rPr>
        <w:t>项目验收通过后，各镇（高管会）直接向区委农办（区农业农村局）申请奖补资金，由区委农办汇总后统一向区财政局申请资金，区财政局将奖补资金拨付到相关镇后，最后由镇政府将奖补资金拨付给申报主体。</w:t>
      </w:r>
    </w:p>
    <w:p>
      <w:pPr>
        <w:spacing w:after="0" w:line="560" w:lineRule="exact"/>
        <w:ind w:firstLine="640" w:firstLineChars="200"/>
        <w:jc w:val="both"/>
        <w:rPr>
          <w:rFonts w:ascii="黑体" w:hAnsi="黑体" w:eastAsia="黑体" w:cs="楷体_GB2312"/>
          <w:bCs/>
          <w:color w:val="191919"/>
          <w:sz w:val="32"/>
          <w:szCs w:val="32"/>
          <w:shd w:val="clear" w:color="auto" w:fill="FFFFFF"/>
        </w:rPr>
      </w:pPr>
      <w:r>
        <w:rPr>
          <w:rFonts w:hint="eastAsia" w:ascii="黑体" w:hAnsi="黑体" w:eastAsia="黑体" w:cs="楷体_GB2312"/>
          <w:bCs/>
          <w:color w:val="191919"/>
          <w:sz w:val="32"/>
          <w:szCs w:val="32"/>
          <w:shd w:val="clear" w:color="auto" w:fill="FFFFFF"/>
        </w:rPr>
        <w:t>五、保障措施</w:t>
      </w:r>
    </w:p>
    <w:p>
      <w:pPr>
        <w:pStyle w:val="10"/>
        <w:shd w:val="clear" w:color="auto" w:fill="FFFFFF"/>
        <w:spacing w:before="0" w:beforeAutospacing="0" w:after="0" w:afterAutospacing="0" w:line="560" w:lineRule="exact"/>
        <w:jc w:val="both"/>
        <w:rPr>
          <w:rFonts w:ascii="仿宋_GB2312" w:hAnsi="仿宋_GB2312" w:eastAsia="仿宋_GB2312" w:cs="仿宋_GB2312"/>
          <w:color w:val="000000"/>
          <w:sz w:val="32"/>
          <w:szCs w:val="32"/>
        </w:rPr>
      </w:pPr>
      <w:r>
        <w:rPr>
          <w:rFonts w:hint="eastAsia" w:ascii="楷体" w:hAnsi="楷体" w:eastAsia="楷体" w:cs="仿宋_GB2312"/>
          <w:bCs/>
          <w:color w:val="000000"/>
          <w:sz w:val="32"/>
          <w:szCs w:val="32"/>
        </w:rPr>
        <w:t xml:space="preserve">    （一）加强组织领导。</w:t>
      </w:r>
      <w:r>
        <w:rPr>
          <w:rFonts w:hint="eastAsia" w:ascii="仿宋_GB2312" w:hAnsi="仿宋_GB2312" w:eastAsia="仿宋_GB2312" w:cs="仿宋_GB2312"/>
          <w:color w:val="000000"/>
          <w:sz w:val="32"/>
          <w:szCs w:val="32"/>
        </w:rPr>
        <w:t>各镇（高管会）成立“拯救老屋行动”工作领导小组，负责统筹协调相关工作。相关村委会要积极组织开展本村“拯救老屋行动”，要明确责任领导，负责项目实施过程中宣传发动、政策处理、后续利用、材料收集等工作。</w:t>
      </w:r>
    </w:p>
    <w:p>
      <w:pPr>
        <w:pStyle w:val="10"/>
        <w:shd w:val="clear" w:color="auto" w:fill="FFFFFF"/>
        <w:spacing w:before="0" w:beforeAutospacing="0" w:after="0" w:afterAutospacing="0" w:line="520" w:lineRule="exact"/>
        <w:jc w:val="both"/>
        <w:rPr>
          <w:rFonts w:ascii="仿宋_GB2312" w:hAnsi="仿宋_GB2312" w:eastAsia="仿宋_GB2312" w:cs="仿宋_GB2312"/>
          <w:color w:val="000000"/>
          <w:sz w:val="32"/>
          <w:szCs w:val="32"/>
        </w:rPr>
      </w:pPr>
      <w:r>
        <w:rPr>
          <w:rFonts w:hint="eastAsia" w:ascii="楷体" w:hAnsi="楷体" w:eastAsia="楷体" w:cs="仿宋_GB2312"/>
          <w:bCs/>
          <w:color w:val="000000"/>
          <w:sz w:val="32"/>
          <w:szCs w:val="32"/>
        </w:rPr>
        <w:t xml:space="preserve">    （二）加强资金保障。</w:t>
      </w:r>
      <w:r>
        <w:rPr>
          <w:rFonts w:hint="eastAsia" w:ascii="仿宋_GB2312" w:hAnsi="仿宋_GB2312" w:eastAsia="仿宋_GB2312" w:cs="仿宋_GB2312"/>
          <w:color w:val="000000"/>
          <w:sz w:val="32"/>
          <w:szCs w:val="32"/>
        </w:rPr>
        <w:t>镇、村要积极发动乡贤、社会力量、帮扶单位等各方筹集资金、资源，建立政府主导、村民参与、社会支持的投入机制，区财政每年统筹安排专项资金用于</w:t>
      </w:r>
      <w:r>
        <w:rPr>
          <w:rFonts w:hint="eastAsia" w:ascii="仿宋_GB2312" w:hAnsi="仿宋_GB2312" w:eastAsia="仿宋_GB2312" w:cs="仿宋_GB2312"/>
          <w:color w:val="191919"/>
          <w:sz w:val="32"/>
          <w:szCs w:val="32"/>
          <w:shd w:val="clear" w:color="auto" w:fill="FFFFFF"/>
        </w:rPr>
        <w:t>“拯救老屋行动”</w:t>
      </w:r>
      <w:r>
        <w:rPr>
          <w:rFonts w:hint="eastAsia" w:ascii="仿宋_GB2312" w:hAnsi="仿宋_GB2312" w:eastAsia="仿宋_GB2312" w:cs="仿宋_GB2312"/>
          <w:color w:val="000000"/>
          <w:sz w:val="32"/>
          <w:szCs w:val="32"/>
        </w:rPr>
        <w:t>奖补</w:t>
      </w:r>
      <w:r>
        <w:rPr>
          <w:rFonts w:hint="eastAsia" w:ascii="仿宋_GB2312" w:hAnsi="仿宋_GB2312" w:eastAsia="仿宋_GB2312" w:cs="仿宋_GB2312"/>
          <w:color w:val="191919"/>
          <w:sz w:val="32"/>
          <w:szCs w:val="32"/>
          <w:shd w:val="clear" w:color="auto" w:fill="FFFFFF"/>
        </w:rPr>
        <w:t>。</w:t>
      </w:r>
    </w:p>
    <w:p>
      <w:pPr>
        <w:pStyle w:val="10"/>
        <w:shd w:val="clear" w:color="auto" w:fill="FFFFFF"/>
        <w:spacing w:before="0" w:beforeAutospacing="0" w:after="0" w:afterAutospacing="0" w:line="520" w:lineRule="exact"/>
        <w:jc w:val="both"/>
        <w:rPr>
          <w:rFonts w:ascii="仿宋_GB2312" w:hAnsi="仿宋_GB2312" w:eastAsia="仿宋_GB2312" w:cs="仿宋_GB2312"/>
          <w:color w:val="000000"/>
          <w:sz w:val="32"/>
          <w:szCs w:val="32"/>
        </w:rPr>
      </w:pPr>
      <w:r>
        <w:rPr>
          <w:rFonts w:hint="eastAsia" w:ascii="楷体" w:hAnsi="楷体" w:eastAsia="楷体" w:cs="仿宋_GB2312"/>
          <w:bCs/>
          <w:color w:val="000000"/>
          <w:sz w:val="32"/>
          <w:szCs w:val="32"/>
        </w:rPr>
        <w:t xml:space="preserve">    （三）加强监查考核。</w:t>
      </w:r>
      <w:r>
        <w:rPr>
          <w:rFonts w:hint="eastAsia" w:ascii="仿宋_GB2312" w:hAnsi="仿宋_GB2312" w:eastAsia="仿宋_GB2312" w:cs="仿宋_GB2312"/>
          <w:color w:val="000000"/>
          <w:sz w:val="32"/>
          <w:szCs w:val="32"/>
        </w:rPr>
        <w:t>将“拯救老屋行动”项目管理纳入美丽乡村建设资金使用和项目管理，建立日常监督机制和考核验收办法。由区委农办牵头，会同区住建、区文广旅等有关部门，加强技术指导和日常检查。</w:t>
      </w:r>
    </w:p>
    <w:p>
      <w:pPr>
        <w:pStyle w:val="10"/>
        <w:shd w:val="clear" w:color="auto" w:fill="FFFFFF"/>
        <w:spacing w:before="0" w:beforeAutospacing="0" w:after="0" w:afterAutospacing="0" w:line="560" w:lineRule="exact"/>
        <w:jc w:val="both"/>
        <w:rPr>
          <w:rFonts w:ascii="仿宋_GB2312" w:hAnsi="仿宋_GB2312" w:eastAsia="仿宋_GB2312" w:cs="仿宋_GB2312"/>
          <w:color w:val="000000"/>
          <w:sz w:val="32"/>
          <w:szCs w:val="32"/>
        </w:rPr>
      </w:pPr>
      <w:r>
        <w:rPr>
          <w:rFonts w:hint="eastAsia" w:ascii="楷体" w:hAnsi="楷体" w:eastAsia="楷体" w:cs="仿宋_GB2312"/>
          <w:bCs/>
          <w:color w:val="000000"/>
          <w:sz w:val="32"/>
          <w:szCs w:val="32"/>
        </w:rPr>
        <w:t xml:space="preserve">    （四）加强宣传发动。</w:t>
      </w:r>
      <w:r>
        <w:rPr>
          <w:rFonts w:hint="eastAsia" w:ascii="仿宋_GB2312" w:hAnsi="仿宋_GB2312" w:eastAsia="仿宋_GB2312" w:cs="仿宋_GB2312"/>
          <w:color w:val="000000"/>
          <w:sz w:val="32"/>
          <w:szCs w:val="32"/>
        </w:rPr>
        <w:t>通过广播、宣传栏、会议等形式，加大对“拯救老屋行动”的宣传。结合民宿、旅游及其他产业，积极引导对修缮后的建筑开展利用。及时总结推广先进典型，形成政府与群众良性互动、保护与利用相互促进的良好氛围。</w:t>
      </w:r>
    </w:p>
    <w:p>
      <w:pPr>
        <w:spacing w:after="0" w:line="560" w:lineRule="exact"/>
        <w:ind w:firstLine="640" w:firstLineChars="200"/>
        <w:jc w:val="both"/>
        <w:rPr>
          <w:rFonts w:ascii="黑体" w:hAnsi="黑体" w:eastAsia="黑体" w:cs="楷体_GB2312"/>
          <w:bCs/>
          <w:color w:val="191919"/>
          <w:sz w:val="32"/>
          <w:szCs w:val="32"/>
          <w:shd w:val="clear" w:color="auto" w:fill="FFFFFF"/>
        </w:rPr>
      </w:pPr>
      <w:r>
        <w:rPr>
          <w:rFonts w:hint="eastAsia" w:ascii="黑体" w:hAnsi="黑体" w:eastAsia="黑体" w:cs="楷体_GB2312"/>
          <w:bCs/>
          <w:color w:val="191919"/>
          <w:sz w:val="32"/>
          <w:szCs w:val="32"/>
          <w:shd w:val="clear" w:color="auto" w:fill="FFFFFF"/>
        </w:rPr>
        <w:t>六、试行时间</w:t>
      </w:r>
    </w:p>
    <w:p>
      <w:pPr>
        <w:pStyle w:val="10"/>
        <w:shd w:val="clear" w:color="auto" w:fill="FFFFFF"/>
        <w:spacing w:before="0" w:beforeAutospacing="0" w:after="0" w:afterAutospacing="0" w:line="56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本办法自印发之日起施行，有效期3年，由区委农办（区乡村振兴局）会同有关部门负责解释。</w:t>
      </w:r>
    </w:p>
    <w:p>
      <w:pPr>
        <w:pStyle w:val="10"/>
        <w:shd w:val="clear" w:color="auto" w:fill="FFFFFF"/>
        <w:spacing w:before="0" w:beforeAutospacing="0" w:after="0" w:afterAutospacing="0" w:line="560" w:lineRule="exact"/>
        <w:ind w:left="1300" w:leftChars="300" w:hanging="640" w:hangingChars="200"/>
        <w:jc w:val="both"/>
        <w:rPr>
          <w:rFonts w:ascii="仿宋_GB2312" w:hAnsi="仿宋_GB2312" w:eastAsia="仿宋_GB2312" w:cs="仿宋_GB2312"/>
          <w:color w:val="000000"/>
          <w:sz w:val="32"/>
          <w:szCs w:val="32"/>
        </w:rPr>
      </w:pPr>
    </w:p>
    <w:sectPr>
      <w:footerReference r:id="rId4" w:type="default"/>
      <w:pgSz w:w="11906" w:h="16838"/>
      <w:pgMar w:top="1440" w:right="1474" w:bottom="1440" w:left="1474" w:header="709" w:footer="680" w:gutter="0"/>
      <w:pgNumType w:start="1"/>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9989785"/>
    </w:sdtPr>
    <w:sdtContent>
      <w:p>
        <w:pPr>
          <w:pStyle w:val="4"/>
          <w:jc w:val="center"/>
        </w:pPr>
        <w:r>
          <w:fldChar w:fldCharType="begin"/>
        </w:r>
        <w:r>
          <w:instrText xml:space="preserve"> PAGE   \* MERGEFORMAT </w:instrText>
        </w:r>
        <w:r>
          <w:fldChar w:fldCharType="separate"/>
        </w:r>
        <w:r>
          <w:rPr>
            <w:lang w:val="zh-CN"/>
          </w:rPr>
          <w:t>6</w:t>
        </w:r>
        <w:r>
          <w:rPr>
            <w:lang w:val="zh-CN"/>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drawingGridHorizontalSpacing w:val="110"/>
  <w:displayHorizontalDrawingGridEvery w:val="2"/>
  <w:characterSpacingControl w:val="doNotCompress"/>
  <w:footnotePr>
    <w:footnote w:id="0"/>
    <w:footnote w:id="1"/>
  </w:footnotePr>
  <w:compat>
    <w:useFELayout/>
    <w:compatSetting w:name="compatibilityMode" w:uri="http://schemas.microsoft.com/office/word" w:val="12"/>
  </w:compat>
  <w:docVars>
    <w:docVar w:name="commondata" w:val="eyJoZGlkIjoiMTY1YjY4MGRhZmM1ZTM4ZjczNzBmZThlMWQ4NzU0M2EifQ=="/>
  </w:docVars>
  <w:rsids>
    <w:rsidRoot w:val="00D31D50"/>
    <w:rsid w:val="00024833"/>
    <w:rsid w:val="00036DB7"/>
    <w:rsid w:val="0005295D"/>
    <w:rsid w:val="00062BAB"/>
    <w:rsid w:val="00077820"/>
    <w:rsid w:val="0008338D"/>
    <w:rsid w:val="00094719"/>
    <w:rsid w:val="00096082"/>
    <w:rsid w:val="000C219E"/>
    <w:rsid w:val="000C7D78"/>
    <w:rsid w:val="000D4347"/>
    <w:rsid w:val="000F30C4"/>
    <w:rsid w:val="000F39ED"/>
    <w:rsid w:val="00104759"/>
    <w:rsid w:val="001179A8"/>
    <w:rsid w:val="0017291D"/>
    <w:rsid w:val="00187ECC"/>
    <w:rsid w:val="0019356C"/>
    <w:rsid w:val="001A43E6"/>
    <w:rsid w:val="001C52C2"/>
    <w:rsid w:val="001D1E4D"/>
    <w:rsid w:val="001D75D7"/>
    <w:rsid w:val="001F6DEC"/>
    <w:rsid w:val="0021424B"/>
    <w:rsid w:val="0022566C"/>
    <w:rsid w:val="00240E84"/>
    <w:rsid w:val="0024127D"/>
    <w:rsid w:val="00243EA2"/>
    <w:rsid w:val="00246FC7"/>
    <w:rsid w:val="00262249"/>
    <w:rsid w:val="0027159C"/>
    <w:rsid w:val="002729F2"/>
    <w:rsid w:val="0027709A"/>
    <w:rsid w:val="002969D9"/>
    <w:rsid w:val="002D08D2"/>
    <w:rsid w:val="002D1B95"/>
    <w:rsid w:val="002D443F"/>
    <w:rsid w:val="002F0753"/>
    <w:rsid w:val="00301698"/>
    <w:rsid w:val="00307F16"/>
    <w:rsid w:val="003179B5"/>
    <w:rsid w:val="00323B43"/>
    <w:rsid w:val="0034459D"/>
    <w:rsid w:val="00355184"/>
    <w:rsid w:val="003610CF"/>
    <w:rsid w:val="003A4994"/>
    <w:rsid w:val="003B38A1"/>
    <w:rsid w:val="003B4CA1"/>
    <w:rsid w:val="003C028B"/>
    <w:rsid w:val="003D37D8"/>
    <w:rsid w:val="003E7E91"/>
    <w:rsid w:val="00401EDB"/>
    <w:rsid w:val="00407C9F"/>
    <w:rsid w:val="00415084"/>
    <w:rsid w:val="00426133"/>
    <w:rsid w:val="004358AB"/>
    <w:rsid w:val="00466358"/>
    <w:rsid w:val="0049554F"/>
    <w:rsid w:val="004B3561"/>
    <w:rsid w:val="004C547C"/>
    <w:rsid w:val="00504C89"/>
    <w:rsid w:val="00516394"/>
    <w:rsid w:val="00516D7C"/>
    <w:rsid w:val="00531D21"/>
    <w:rsid w:val="0055559E"/>
    <w:rsid w:val="00572DE6"/>
    <w:rsid w:val="005A26B7"/>
    <w:rsid w:val="005B05E5"/>
    <w:rsid w:val="005B155C"/>
    <w:rsid w:val="005D2634"/>
    <w:rsid w:val="005E4536"/>
    <w:rsid w:val="00610C9A"/>
    <w:rsid w:val="00621930"/>
    <w:rsid w:val="00630FDA"/>
    <w:rsid w:val="006341C9"/>
    <w:rsid w:val="006517D4"/>
    <w:rsid w:val="006908BA"/>
    <w:rsid w:val="00693092"/>
    <w:rsid w:val="006B7AAE"/>
    <w:rsid w:val="00703958"/>
    <w:rsid w:val="00714D86"/>
    <w:rsid w:val="00736A9F"/>
    <w:rsid w:val="00760E86"/>
    <w:rsid w:val="007A66B6"/>
    <w:rsid w:val="007C2DD9"/>
    <w:rsid w:val="007C60FC"/>
    <w:rsid w:val="007F06E9"/>
    <w:rsid w:val="007F0926"/>
    <w:rsid w:val="00807B49"/>
    <w:rsid w:val="008102B3"/>
    <w:rsid w:val="00813DBB"/>
    <w:rsid w:val="00814875"/>
    <w:rsid w:val="00816064"/>
    <w:rsid w:val="00824D60"/>
    <w:rsid w:val="00826BF3"/>
    <w:rsid w:val="008556B3"/>
    <w:rsid w:val="008A57C2"/>
    <w:rsid w:val="008B7391"/>
    <w:rsid w:val="008B7726"/>
    <w:rsid w:val="008E0064"/>
    <w:rsid w:val="008E0692"/>
    <w:rsid w:val="008E2641"/>
    <w:rsid w:val="00946E99"/>
    <w:rsid w:val="00971716"/>
    <w:rsid w:val="00995934"/>
    <w:rsid w:val="009A5ABE"/>
    <w:rsid w:val="009B114E"/>
    <w:rsid w:val="009F1802"/>
    <w:rsid w:val="009F2553"/>
    <w:rsid w:val="009F3056"/>
    <w:rsid w:val="00A01DCD"/>
    <w:rsid w:val="00A0274E"/>
    <w:rsid w:val="00A11E56"/>
    <w:rsid w:val="00A13BCB"/>
    <w:rsid w:val="00A54209"/>
    <w:rsid w:val="00A62207"/>
    <w:rsid w:val="00A65EA6"/>
    <w:rsid w:val="00A755B9"/>
    <w:rsid w:val="00A94B16"/>
    <w:rsid w:val="00AA3B54"/>
    <w:rsid w:val="00AA4E3A"/>
    <w:rsid w:val="00AD1D46"/>
    <w:rsid w:val="00AF2A74"/>
    <w:rsid w:val="00AF692E"/>
    <w:rsid w:val="00B10F5E"/>
    <w:rsid w:val="00B114D0"/>
    <w:rsid w:val="00B139B8"/>
    <w:rsid w:val="00B33E4C"/>
    <w:rsid w:val="00B466F4"/>
    <w:rsid w:val="00B476C6"/>
    <w:rsid w:val="00B47B39"/>
    <w:rsid w:val="00B55A64"/>
    <w:rsid w:val="00B803F9"/>
    <w:rsid w:val="00B80551"/>
    <w:rsid w:val="00BB252D"/>
    <w:rsid w:val="00BB4070"/>
    <w:rsid w:val="00BD7DE4"/>
    <w:rsid w:val="00C03BDB"/>
    <w:rsid w:val="00C17FE7"/>
    <w:rsid w:val="00C41958"/>
    <w:rsid w:val="00C6022B"/>
    <w:rsid w:val="00C747D4"/>
    <w:rsid w:val="00C910CF"/>
    <w:rsid w:val="00C937B6"/>
    <w:rsid w:val="00C96090"/>
    <w:rsid w:val="00CB0B5D"/>
    <w:rsid w:val="00CB4C6F"/>
    <w:rsid w:val="00CC5E76"/>
    <w:rsid w:val="00CD5017"/>
    <w:rsid w:val="00D31D50"/>
    <w:rsid w:val="00D72DD8"/>
    <w:rsid w:val="00DA6864"/>
    <w:rsid w:val="00DF7BE4"/>
    <w:rsid w:val="00E2659A"/>
    <w:rsid w:val="00E34ADE"/>
    <w:rsid w:val="00E476F5"/>
    <w:rsid w:val="00E51F5F"/>
    <w:rsid w:val="00E9117E"/>
    <w:rsid w:val="00EB2D54"/>
    <w:rsid w:val="00EB7D75"/>
    <w:rsid w:val="00EE46F6"/>
    <w:rsid w:val="00EF284B"/>
    <w:rsid w:val="00F104A7"/>
    <w:rsid w:val="00F34117"/>
    <w:rsid w:val="00F50A6E"/>
    <w:rsid w:val="00F52623"/>
    <w:rsid w:val="00F61619"/>
    <w:rsid w:val="00F647DD"/>
    <w:rsid w:val="00F76A76"/>
    <w:rsid w:val="00FD10DD"/>
    <w:rsid w:val="074C0129"/>
    <w:rsid w:val="0A253A1B"/>
    <w:rsid w:val="0C197F77"/>
    <w:rsid w:val="0E853D3D"/>
    <w:rsid w:val="14AB6B24"/>
    <w:rsid w:val="19E86A5B"/>
    <w:rsid w:val="1A6E5932"/>
    <w:rsid w:val="1A9058A9"/>
    <w:rsid w:val="1B334486"/>
    <w:rsid w:val="20342683"/>
    <w:rsid w:val="23336A07"/>
    <w:rsid w:val="23654B1C"/>
    <w:rsid w:val="244E1F2B"/>
    <w:rsid w:val="26A05E98"/>
    <w:rsid w:val="27AE55C0"/>
    <w:rsid w:val="28C130D1"/>
    <w:rsid w:val="2C492AF7"/>
    <w:rsid w:val="2E4270DC"/>
    <w:rsid w:val="317E4255"/>
    <w:rsid w:val="33BF2903"/>
    <w:rsid w:val="38EA0422"/>
    <w:rsid w:val="3C3814A4"/>
    <w:rsid w:val="3C5729AB"/>
    <w:rsid w:val="3E3402F4"/>
    <w:rsid w:val="3EE511AE"/>
    <w:rsid w:val="42991B9E"/>
    <w:rsid w:val="4557299B"/>
    <w:rsid w:val="47E64D20"/>
    <w:rsid w:val="49CE7F35"/>
    <w:rsid w:val="4A512B79"/>
    <w:rsid w:val="4B015E94"/>
    <w:rsid w:val="4B166E55"/>
    <w:rsid w:val="4C934C01"/>
    <w:rsid w:val="4DA05D26"/>
    <w:rsid w:val="4DC40DEA"/>
    <w:rsid w:val="4F042A1B"/>
    <w:rsid w:val="52A40C37"/>
    <w:rsid w:val="52E934EC"/>
    <w:rsid w:val="55C3289C"/>
    <w:rsid w:val="5979517E"/>
    <w:rsid w:val="5CAF1EBE"/>
    <w:rsid w:val="5D1C522F"/>
    <w:rsid w:val="615E036F"/>
    <w:rsid w:val="665C381B"/>
    <w:rsid w:val="6A635980"/>
    <w:rsid w:val="6D4B11B2"/>
    <w:rsid w:val="7B1D376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paragraph" w:styleId="2">
    <w:name w:val="heading 1"/>
    <w:basedOn w:val="1"/>
    <w:next w:val="1"/>
    <w:link w:val="9"/>
    <w:qFormat/>
    <w:uiPriority w:val="9"/>
    <w:pPr>
      <w:keepNext/>
      <w:keepLines/>
      <w:spacing w:before="340" w:after="330" w:line="578" w:lineRule="auto"/>
      <w:outlineLvl w:val="0"/>
    </w:pPr>
    <w:rPr>
      <w:b/>
      <w:bCs/>
      <w:kern w:val="44"/>
      <w:sz w:val="44"/>
      <w:szCs w:val="44"/>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4"/>
    <w:semiHidden/>
    <w:unhideWhenUsed/>
    <w:uiPriority w:val="99"/>
    <w:pPr>
      <w:spacing w:after="0"/>
    </w:pPr>
    <w:rPr>
      <w:sz w:val="18"/>
      <w:szCs w:val="18"/>
    </w:rPr>
  </w:style>
  <w:style w:type="paragraph" w:styleId="4">
    <w:name w:val="footer"/>
    <w:basedOn w:val="1"/>
    <w:link w:val="12"/>
    <w:unhideWhenUsed/>
    <w:qFormat/>
    <w:uiPriority w:val="99"/>
    <w:pPr>
      <w:tabs>
        <w:tab w:val="center" w:pos="4153"/>
        <w:tab w:val="right" w:pos="8306"/>
      </w:tabs>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jc w:val="center"/>
    </w:pPr>
    <w:rPr>
      <w:sz w:val="18"/>
      <w:szCs w:val="18"/>
    </w:r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标题 1 Char"/>
    <w:basedOn w:val="8"/>
    <w:link w:val="2"/>
    <w:qFormat/>
    <w:uiPriority w:val="9"/>
    <w:rPr>
      <w:rFonts w:ascii="Tahoma" w:hAnsi="Tahoma"/>
      <w:b/>
      <w:bCs/>
      <w:kern w:val="44"/>
      <w:sz w:val="44"/>
      <w:szCs w:val="44"/>
    </w:rPr>
  </w:style>
  <w:style w:type="paragraph" w:customStyle="1" w:styleId="10">
    <w:name w:val="text-tag"/>
    <w:basedOn w:val="1"/>
    <w:qFormat/>
    <w:uiPriority w:val="0"/>
    <w:pPr>
      <w:adjustRightInd/>
      <w:snapToGrid/>
      <w:spacing w:before="100" w:beforeAutospacing="1" w:after="100" w:afterAutospacing="1"/>
    </w:pPr>
    <w:rPr>
      <w:rFonts w:ascii="宋体" w:hAnsi="宋体" w:eastAsia="宋体" w:cs="宋体"/>
      <w:sz w:val="24"/>
      <w:szCs w:val="24"/>
    </w:rPr>
  </w:style>
  <w:style w:type="character" w:customStyle="1" w:styleId="11">
    <w:name w:val="页眉 Char"/>
    <w:basedOn w:val="8"/>
    <w:link w:val="5"/>
    <w:semiHidden/>
    <w:qFormat/>
    <w:uiPriority w:val="99"/>
    <w:rPr>
      <w:rFonts w:ascii="Tahoma" w:hAnsi="Tahoma"/>
      <w:sz w:val="18"/>
      <w:szCs w:val="18"/>
    </w:rPr>
  </w:style>
  <w:style w:type="character" w:customStyle="1" w:styleId="12">
    <w:name w:val="页脚 Char"/>
    <w:basedOn w:val="8"/>
    <w:link w:val="4"/>
    <w:qFormat/>
    <w:uiPriority w:val="99"/>
    <w:rPr>
      <w:rFonts w:ascii="Tahoma" w:hAnsi="Tahoma"/>
      <w:sz w:val="18"/>
      <w:szCs w:val="18"/>
    </w:rPr>
  </w:style>
  <w:style w:type="character" w:customStyle="1" w:styleId="13">
    <w:name w:val="bjh-p"/>
    <w:basedOn w:val="8"/>
    <w:qFormat/>
    <w:uiPriority w:val="0"/>
  </w:style>
  <w:style w:type="character" w:customStyle="1" w:styleId="14">
    <w:name w:val="批注框文本 Char"/>
    <w:basedOn w:val="8"/>
    <w:link w:val="3"/>
    <w:semiHidden/>
    <w:uiPriority w:val="99"/>
    <w:rPr>
      <w:rFonts w:ascii="Tahoma" w:hAnsi="Tahoma"/>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mycomputer</Company>
  <Pages>5</Pages>
  <Words>371</Words>
  <Characters>2116</Characters>
  <Lines>17</Lines>
  <Paragraphs>4</Paragraphs>
  <TotalTime>6</TotalTime>
  <ScaleCrop>false</ScaleCrop>
  <LinksUpToDate>false</LinksUpToDate>
  <CharactersWithSpaces>2483</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LX</cp:lastModifiedBy>
  <cp:lastPrinted>2022-05-25T06:53:00Z</cp:lastPrinted>
  <dcterms:modified xsi:type="dcterms:W3CDTF">2022-06-28T09:38:03Z</dcterms:modified>
  <cp:revision>134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2540CB229FA64A4E9437FBECF8816822</vt:lpwstr>
  </property>
</Properties>
</file>